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57C459E5">
                <wp:simplePos x="0" y="0"/>
                <wp:positionH relativeFrom="margin">
                  <wp:align>left</wp:align>
                </wp:positionH>
                <wp:positionV relativeFrom="paragraph">
                  <wp:posOffset>155437</wp:posOffset>
                </wp:positionV>
                <wp:extent cx="5842000" cy="270344"/>
                <wp:effectExtent l="0" t="0" r="25400" b="15875"/>
                <wp:wrapNone/>
                <wp:docPr id="1425016888" name="Rectángulo 4"/>
                <wp:cNvGraphicFramePr/>
                <a:graphic xmlns:a="http://schemas.openxmlformats.org/drawingml/2006/main">
                  <a:graphicData uri="http://schemas.microsoft.com/office/word/2010/wordprocessingShape">
                    <wps:wsp>
                      <wps:cNvSpPr/>
                      <wps:spPr>
                        <a:xfrm>
                          <a:off x="0" y="0"/>
                          <a:ext cx="584200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60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3FB7C50B" w14:textId="77777777" w:rsidR="009D6A56" w:rsidRPr="009546E7" w:rsidRDefault="009D6A56" w:rsidP="009D6A56">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080F02D4" w14:textId="77777777" w:rsidR="009D6A56" w:rsidRPr="009546E7" w:rsidRDefault="009D6A56" w:rsidP="009D6A56">
      <w:pPr>
        <w:spacing w:after="0"/>
        <w:jc w:val="both"/>
        <w:rPr>
          <w:sz w:val="20"/>
          <w:szCs w:val="20"/>
        </w:rPr>
      </w:pPr>
    </w:p>
    <w:p w14:paraId="472E8424" w14:textId="252CFC18" w:rsidR="00260F34" w:rsidRDefault="009D6A56" w:rsidP="009D6A56">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31DAFBDF" w:rsidR="00100E12" w:rsidRDefault="00356C79" w:rsidP="00356C79">
      <w:pPr>
        <w:tabs>
          <w:tab w:val="left" w:pos="7338"/>
        </w:tabs>
        <w:spacing w:after="0"/>
        <w:jc w:val="both"/>
        <w:rPr>
          <w:sz w:val="20"/>
          <w:szCs w:val="20"/>
        </w:rPr>
      </w:pPr>
      <w:r>
        <w:rPr>
          <w:sz w:val="20"/>
          <w:szCs w:val="20"/>
        </w:rPr>
        <w:tab/>
      </w: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2DCA580E">
                <wp:simplePos x="0" y="0"/>
                <wp:positionH relativeFrom="margin">
                  <wp:posOffset>-6985</wp:posOffset>
                </wp:positionH>
                <wp:positionV relativeFrom="paragraph">
                  <wp:posOffset>138430</wp:posOffset>
                </wp:positionV>
                <wp:extent cx="5854700" cy="294199"/>
                <wp:effectExtent l="0" t="0" r="12700" b="10795"/>
                <wp:wrapNone/>
                <wp:docPr id="1966429916" name="Rectángulo 5"/>
                <wp:cNvGraphicFramePr/>
                <a:graphic xmlns:a="http://schemas.openxmlformats.org/drawingml/2006/main">
                  <a:graphicData uri="http://schemas.microsoft.com/office/word/2010/wordprocessingShape">
                    <wps:wsp>
                      <wps:cNvSpPr/>
                      <wps:spPr>
                        <a:xfrm>
                          <a:off x="0" y="0"/>
                          <a:ext cx="585470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FC6EA" id="Rectángulo 5" o:spid="_x0000_s1027" style="position:absolute;margin-left:-.55pt;margin-top:10.9pt;width:461pt;height:23.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5BD5B0C2" w:rsidR="00E60F03" w:rsidRPr="009546E7" w:rsidRDefault="00DF2F26" w:rsidP="00E60F03">
      <w:pPr>
        <w:pStyle w:val="Prrafodelista"/>
        <w:spacing w:after="0"/>
        <w:ind w:left="360"/>
        <w:rPr>
          <w:sz w:val="20"/>
          <w:szCs w:val="20"/>
        </w:rPr>
      </w:pPr>
      <w:r w:rsidRPr="00DF2F26">
        <w:rPr>
          <w:sz w:val="20"/>
          <w:szCs w:val="20"/>
        </w:rPr>
        <w:t>C</w:t>
      </w:r>
      <w:r w:rsidR="00597DEB">
        <w:rPr>
          <w:sz w:val="20"/>
          <w:szCs w:val="20"/>
        </w:rPr>
        <w:t>írculo de error probable al 95%</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6AB9680" w:rsidR="00E60F03" w:rsidRDefault="00E60F03" w:rsidP="007B774C">
      <w:pPr>
        <w:pStyle w:val="Prrafodelista"/>
        <w:spacing w:after="0"/>
        <w:ind w:left="360"/>
        <w:jc w:val="both"/>
        <w:rPr>
          <w:sz w:val="20"/>
          <w:szCs w:val="20"/>
        </w:rPr>
      </w:pPr>
      <w:r w:rsidRPr="00E60F03">
        <w:rPr>
          <w:sz w:val="20"/>
          <w:szCs w:val="20"/>
        </w:rPr>
        <w:t>Acuerdo CAC- 00</w:t>
      </w:r>
      <w:r w:rsidR="00597DEB">
        <w:rPr>
          <w:sz w:val="20"/>
          <w:szCs w:val="20"/>
        </w:rPr>
        <w:t>3</w:t>
      </w:r>
      <w:r w:rsidRPr="00E60F03">
        <w:rPr>
          <w:sz w:val="20"/>
          <w:szCs w:val="20"/>
        </w:rPr>
        <w:t>/0</w:t>
      </w:r>
      <w:r w:rsidR="00597DEB">
        <w:rPr>
          <w:sz w:val="20"/>
          <w:szCs w:val="20"/>
        </w:rPr>
        <w:t>2</w:t>
      </w:r>
      <w:r w:rsidRPr="00E60F03">
        <w:rPr>
          <w:sz w:val="20"/>
          <w:szCs w:val="20"/>
        </w:rPr>
        <w:t>/20</w:t>
      </w:r>
      <w:r w:rsidR="00DF2F26">
        <w:rPr>
          <w:sz w:val="20"/>
          <w:szCs w:val="20"/>
        </w:rPr>
        <w:t>2</w:t>
      </w:r>
      <w:r w:rsidR="00597DEB">
        <w:rPr>
          <w:sz w:val="20"/>
          <w:szCs w:val="20"/>
        </w:rPr>
        <w:t>3</w:t>
      </w:r>
      <w:r w:rsidRPr="00E60F03">
        <w:rPr>
          <w:sz w:val="20"/>
          <w:szCs w:val="20"/>
        </w:rPr>
        <w:t xml:space="preserve"> en la </w:t>
      </w:r>
      <w:r w:rsidR="00597DEB">
        <w:rPr>
          <w:sz w:val="20"/>
          <w:szCs w:val="20"/>
        </w:rPr>
        <w:t>segunda</w:t>
      </w:r>
      <w:r w:rsidRPr="00E60F03">
        <w:rPr>
          <w:sz w:val="20"/>
          <w:szCs w:val="20"/>
        </w:rPr>
        <w:t xml:space="preserve"> sesión del 20</w:t>
      </w:r>
      <w:r w:rsidR="00DF2F26">
        <w:rPr>
          <w:sz w:val="20"/>
          <w:szCs w:val="20"/>
        </w:rPr>
        <w:t>2</w:t>
      </w:r>
      <w:r w:rsidR="00597DEB">
        <w:rPr>
          <w:sz w:val="20"/>
          <w:szCs w:val="20"/>
        </w:rPr>
        <w:t>3</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17ED56BD" w:rsidR="00E60F03" w:rsidRDefault="00597DEB" w:rsidP="00754EB1">
      <w:pPr>
        <w:pStyle w:val="Prrafodelista"/>
        <w:spacing w:after="0"/>
        <w:ind w:left="360" w:right="-376"/>
        <w:jc w:val="both"/>
        <w:rPr>
          <w:sz w:val="20"/>
          <w:szCs w:val="20"/>
        </w:rPr>
      </w:pPr>
      <w:r w:rsidRPr="00597DEB">
        <w:rPr>
          <w:sz w:val="20"/>
          <w:szCs w:val="20"/>
        </w:rPr>
        <w:t>Se calculará y se publicará el indicador para Estaciones Horizontales Pasivas y Puntos para fines especiales de los proyectos que sean realizados a partir del año 2022.</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20D2A88C" w14:textId="77777777" w:rsidR="00AA7EBA" w:rsidRPr="00E60F03" w:rsidRDefault="00AA7EBA"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3D20639E" w:rsidR="009935FA" w:rsidRDefault="00597DEB" w:rsidP="00DA09D9">
      <w:pPr>
        <w:pStyle w:val="Prrafodelista"/>
        <w:spacing w:after="0"/>
        <w:ind w:left="360" w:right="-376"/>
        <w:jc w:val="both"/>
        <w:rPr>
          <w:b/>
          <w:bCs/>
          <w:sz w:val="20"/>
          <w:szCs w:val="20"/>
        </w:rPr>
      </w:pPr>
      <w:r w:rsidRPr="00597DEB">
        <w:rPr>
          <w:sz w:val="20"/>
          <w:szCs w:val="20"/>
        </w:rPr>
        <w:t xml:space="preserve">El Círculo de Error Probable es un indicador combinado que representa la exactitud de un levantamiento geodésico con el Sistema Global de Navegación por Satélite (GNSS), en el intervalo de confianza del 95%, de puntos convenientemente seleccionados para: el mantenimiento y densificación de la Red Geodésica Nacional, el control geodésico terrestre en el proceso de triangulación aérea y como alternativa en la evaluación de la calidad de diversos productos cartográficos, dentro de los </w:t>
      </w:r>
      <w:r w:rsidR="0037586A">
        <w:rPr>
          <w:sz w:val="20"/>
          <w:szCs w:val="20"/>
        </w:rPr>
        <w:t>p</w:t>
      </w:r>
      <w:r w:rsidRPr="00597DEB">
        <w:rPr>
          <w:sz w:val="20"/>
          <w:szCs w:val="20"/>
        </w:rPr>
        <w:t>ro</w:t>
      </w:r>
      <w:r w:rsidR="00A51309">
        <w:rPr>
          <w:sz w:val="20"/>
          <w:szCs w:val="20"/>
        </w:rPr>
        <w:t xml:space="preserve">cesos de </w:t>
      </w:r>
      <w:r w:rsidR="0037586A">
        <w:rPr>
          <w:sz w:val="20"/>
          <w:szCs w:val="20"/>
        </w:rPr>
        <w:t>p</w:t>
      </w:r>
      <w:r w:rsidR="00A51309">
        <w:rPr>
          <w:sz w:val="20"/>
          <w:szCs w:val="20"/>
        </w:rPr>
        <w:t>roducción</w:t>
      </w:r>
      <w:r w:rsidRPr="00597DEB">
        <w:rPr>
          <w:sz w:val="20"/>
          <w:szCs w:val="20"/>
        </w:rPr>
        <w:t xml:space="preserve"> del Marco de Referencia Geodésico y Topografía.</w:t>
      </w:r>
    </w:p>
    <w:p w14:paraId="4AA71BAF" w14:textId="77777777" w:rsidR="001E2DD7" w:rsidRDefault="001E2DD7" w:rsidP="009935FA">
      <w:pPr>
        <w:pStyle w:val="Prrafodelista"/>
        <w:spacing w:after="0"/>
        <w:ind w:left="360"/>
        <w:rPr>
          <w:b/>
          <w:bCs/>
          <w:sz w:val="20"/>
          <w:szCs w:val="20"/>
        </w:rPr>
      </w:pPr>
    </w:p>
    <w:p w14:paraId="27131C16" w14:textId="6F65DEA5" w:rsidR="00E60F03" w:rsidRDefault="00E60F03" w:rsidP="007C4988">
      <w:pPr>
        <w:pStyle w:val="Prrafodelista"/>
        <w:numPr>
          <w:ilvl w:val="1"/>
          <w:numId w:val="2"/>
        </w:numPr>
        <w:spacing w:after="0"/>
        <w:ind w:right="-376"/>
        <w:rPr>
          <w:b/>
          <w:bCs/>
          <w:sz w:val="20"/>
          <w:szCs w:val="20"/>
        </w:rPr>
      </w:pPr>
      <w:r>
        <w:rPr>
          <w:b/>
          <w:bCs/>
          <w:sz w:val="20"/>
          <w:szCs w:val="20"/>
        </w:rPr>
        <w:t>Fuentes de la metodología y/o estándares utilizados en el cálculo del indicador:</w:t>
      </w:r>
    </w:p>
    <w:p w14:paraId="551C97CC" w14:textId="77ED2426" w:rsidR="00335E4E" w:rsidRDefault="00597DEB" w:rsidP="001E2DD7">
      <w:pPr>
        <w:pStyle w:val="Prrafodelista"/>
        <w:spacing w:after="0"/>
        <w:ind w:left="360"/>
        <w:rPr>
          <w:sz w:val="20"/>
          <w:szCs w:val="20"/>
        </w:rPr>
      </w:pPr>
      <w:r>
        <w:rPr>
          <w:sz w:val="20"/>
          <w:szCs w:val="20"/>
        </w:rPr>
        <w:t xml:space="preserve">INEGI. </w:t>
      </w:r>
      <w:r w:rsidRPr="00597DEB">
        <w:rPr>
          <w:sz w:val="20"/>
          <w:szCs w:val="20"/>
        </w:rPr>
        <w:t xml:space="preserve">Norma Técnica del Sistema Geodésico Nacional, 2010. </w:t>
      </w:r>
    </w:p>
    <w:p w14:paraId="3407AC9B" w14:textId="197D91CF" w:rsidR="009935FA" w:rsidRDefault="00597DEB" w:rsidP="007C4988">
      <w:pPr>
        <w:pStyle w:val="Prrafodelista"/>
        <w:spacing w:after="0"/>
        <w:ind w:left="360" w:right="-376"/>
        <w:rPr>
          <w:rStyle w:val="Hipervnculo"/>
          <w:sz w:val="20"/>
          <w:szCs w:val="20"/>
        </w:rPr>
      </w:pPr>
      <w:hyperlink r:id="rId5" w:history="1">
        <w:r w:rsidRPr="00D6088F">
          <w:rPr>
            <w:rStyle w:val="Hipervnculo"/>
            <w:sz w:val="20"/>
            <w:szCs w:val="20"/>
          </w:rPr>
          <w:t>https://www.snieg.mx/Documentos/Normatividad/Vigente/Norma_Tecnica_para_el_Sistema_Geodesico_Nacional.pdf</w:t>
        </w:r>
      </w:hyperlink>
    </w:p>
    <w:p w14:paraId="22826093" w14:textId="67B87F9F" w:rsidR="00597DEB" w:rsidRPr="00597DEB" w:rsidRDefault="00597DEB" w:rsidP="007C4988">
      <w:pPr>
        <w:pStyle w:val="Prrafodelista"/>
        <w:spacing w:after="0"/>
        <w:ind w:left="360" w:right="-376"/>
        <w:rPr>
          <w:sz w:val="20"/>
          <w:szCs w:val="20"/>
        </w:rPr>
      </w:pPr>
      <w:r w:rsidRPr="00597DEB">
        <w:rPr>
          <w:sz w:val="20"/>
          <w:szCs w:val="20"/>
        </w:rPr>
        <w:t>INEGI, Estándares de Exactitud Posicional, 2010.</w:t>
      </w:r>
    </w:p>
    <w:p w14:paraId="24AB8487" w14:textId="5DE1E187" w:rsidR="00597DEB" w:rsidRDefault="00597DEB" w:rsidP="007C4988">
      <w:pPr>
        <w:pStyle w:val="Prrafodelista"/>
        <w:spacing w:after="0"/>
        <w:ind w:left="360" w:right="-376"/>
        <w:rPr>
          <w:sz w:val="20"/>
          <w:szCs w:val="20"/>
        </w:rPr>
      </w:pPr>
      <w:hyperlink r:id="rId6" w:history="1">
        <w:r w:rsidRPr="00D6088F">
          <w:rPr>
            <w:rStyle w:val="Hipervnculo"/>
            <w:sz w:val="20"/>
            <w:szCs w:val="20"/>
          </w:rPr>
          <w:t>https://www.snieg.mx/Documentos/Normatividad/Vigente/Norma_Tecnica_de_Estandares_de_Exactitud_Posicional.pdf</w:t>
        </w:r>
      </w:hyperlink>
      <w:r>
        <w:rPr>
          <w:sz w:val="20"/>
          <w:szCs w:val="20"/>
        </w:rPr>
        <w:t xml:space="preserve"> </w:t>
      </w:r>
    </w:p>
    <w:p w14:paraId="1A9FDA7F" w14:textId="0492F3D9" w:rsidR="00597DEB" w:rsidRDefault="00597DEB" w:rsidP="007C4988">
      <w:pPr>
        <w:pStyle w:val="Prrafodelista"/>
        <w:spacing w:after="0"/>
        <w:ind w:left="360" w:right="-376"/>
        <w:rPr>
          <w:sz w:val="20"/>
          <w:szCs w:val="20"/>
        </w:rPr>
      </w:pPr>
      <w:r>
        <w:rPr>
          <w:sz w:val="20"/>
          <w:szCs w:val="20"/>
        </w:rPr>
        <w:t xml:space="preserve">INEGI. </w:t>
      </w:r>
      <w:r w:rsidRPr="00597DEB">
        <w:rPr>
          <w:sz w:val="20"/>
          <w:szCs w:val="20"/>
        </w:rPr>
        <w:t>Tratamiento de Errores en levantamientos topográficos, 2002.</w:t>
      </w:r>
    </w:p>
    <w:p w14:paraId="14A613F7" w14:textId="4058E3C6" w:rsidR="00597DEB" w:rsidRDefault="00597DEB" w:rsidP="007C4988">
      <w:pPr>
        <w:pStyle w:val="Prrafodelista"/>
        <w:spacing w:after="0"/>
        <w:ind w:left="360" w:right="-376"/>
        <w:rPr>
          <w:sz w:val="20"/>
          <w:szCs w:val="20"/>
        </w:rPr>
      </w:pPr>
      <w:hyperlink r:id="rId7" w:history="1">
        <w:r w:rsidRPr="00D6088F">
          <w:rPr>
            <w:rStyle w:val="Hipervnculo"/>
            <w:sz w:val="20"/>
            <w:szCs w:val="20"/>
          </w:rPr>
          <w:t>https://www.inegi.org.mx/contenido/productos/prod_serv/contenidos/espanol/bvinegi/productos/historicos/380/702825001383/702825001383_1.pdf</w:t>
        </w:r>
      </w:hyperlink>
      <w:r>
        <w:rPr>
          <w:sz w:val="20"/>
          <w:szCs w:val="20"/>
        </w:rPr>
        <w:t xml:space="preserve"> </w:t>
      </w:r>
    </w:p>
    <w:p w14:paraId="3A64C237" w14:textId="31F48A1C" w:rsidR="00597DEB" w:rsidRDefault="00597DEB" w:rsidP="007C4988">
      <w:pPr>
        <w:pStyle w:val="Prrafodelista"/>
        <w:spacing w:after="0"/>
        <w:ind w:left="360" w:right="-376"/>
        <w:rPr>
          <w:sz w:val="20"/>
          <w:szCs w:val="20"/>
        </w:rPr>
      </w:pPr>
      <w:r w:rsidRPr="00597DEB">
        <w:rPr>
          <w:sz w:val="20"/>
          <w:szCs w:val="20"/>
        </w:rPr>
        <w:t>Sandia National Laboratories</w:t>
      </w:r>
      <w:r>
        <w:rPr>
          <w:sz w:val="20"/>
          <w:szCs w:val="20"/>
        </w:rPr>
        <w:t xml:space="preserve">. </w:t>
      </w:r>
      <w:r w:rsidRPr="00597DEB">
        <w:rPr>
          <w:sz w:val="20"/>
          <w:szCs w:val="20"/>
        </w:rPr>
        <w:t>Performance Comparison of Circular and Spherical Error Probbale Estimators, 2021</w:t>
      </w:r>
      <w:r>
        <w:rPr>
          <w:sz w:val="20"/>
          <w:szCs w:val="20"/>
        </w:rPr>
        <w:t xml:space="preserve">. </w:t>
      </w:r>
    </w:p>
    <w:p w14:paraId="2F7BEB30" w14:textId="12353BA1" w:rsidR="00597DEB" w:rsidRDefault="00597DEB" w:rsidP="007C4988">
      <w:pPr>
        <w:pStyle w:val="Prrafodelista"/>
        <w:spacing w:after="0"/>
        <w:ind w:left="360" w:right="-376"/>
        <w:rPr>
          <w:sz w:val="20"/>
          <w:szCs w:val="20"/>
        </w:rPr>
      </w:pPr>
      <w:hyperlink r:id="rId8" w:history="1">
        <w:r w:rsidRPr="00D6088F">
          <w:rPr>
            <w:rStyle w:val="Hipervnculo"/>
            <w:sz w:val="20"/>
            <w:szCs w:val="20"/>
          </w:rPr>
          <w:t>https://www.osti.gov/servlets/purl/1777092</w:t>
        </w:r>
      </w:hyperlink>
      <w:r>
        <w:rPr>
          <w:sz w:val="20"/>
          <w:szCs w:val="20"/>
        </w:rPr>
        <w:t xml:space="preserve"> </w:t>
      </w:r>
    </w:p>
    <w:p w14:paraId="406507FA" w14:textId="272E1204" w:rsidR="00597DEB" w:rsidRDefault="00597DEB" w:rsidP="007C4988">
      <w:pPr>
        <w:pStyle w:val="Prrafodelista"/>
        <w:spacing w:after="0"/>
        <w:ind w:left="360" w:right="-376"/>
        <w:rPr>
          <w:sz w:val="20"/>
          <w:szCs w:val="20"/>
        </w:rPr>
      </w:pPr>
      <w:r w:rsidRPr="00597DEB">
        <w:rPr>
          <w:sz w:val="20"/>
          <w:szCs w:val="20"/>
        </w:rPr>
        <w:t>NovAtel</w:t>
      </w:r>
      <w:r>
        <w:rPr>
          <w:sz w:val="20"/>
          <w:szCs w:val="20"/>
        </w:rPr>
        <w:t xml:space="preserve">. </w:t>
      </w:r>
      <w:r w:rsidRPr="00597DEB">
        <w:rPr>
          <w:sz w:val="20"/>
          <w:szCs w:val="20"/>
        </w:rPr>
        <w:t>GPS Position Accuracy Measures, 2003.</w:t>
      </w:r>
      <w:r>
        <w:rPr>
          <w:sz w:val="20"/>
          <w:szCs w:val="20"/>
        </w:rPr>
        <w:t xml:space="preserve"> </w:t>
      </w:r>
    </w:p>
    <w:p w14:paraId="20BFAC39" w14:textId="17EEFC4F" w:rsidR="00597DEB" w:rsidRDefault="00597DEB" w:rsidP="007C4988">
      <w:pPr>
        <w:pStyle w:val="Prrafodelista"/>
        <w:spacing w:after="0"/>
        <w:ind w:left="360" w:right="-376"/>
        <w:rPr>
          <w:sz w:val="20"/>
          <w:szCs w:val="20"/>
        </w:rPr>
      </w:pPr>
      <w:hyperlink r:id="rId9" w:history="1">
        <w:r w:rsidRPr="00D6088F">
          <w:rPr>
            <w:rStyle w:val="Hipervnculo"/>
            <w:sz w:val="20"/>
            <w:szCs w:val="20"/>
          </w:rPr>
          <w:t>https://www.gnss.ca/app_notes/APN-029_GPS_Position_Accuracy_Measures_Application_Note.html</w:t>
        </w:r>
      </w:hyperlink>
      <w:r>
        <w:rPr>
          <w:sz w:val="20"/>
          <w:szCs w:val="20"/>
        </w:rPr>
        <w:t xml:space="preserve"> </w:t>
      </w:r>
    </w:p>
    <w:p w14:paraId="13E470F9" w14:textId="77777777" w:rsidR="00597DEB" w:rsidRPr="00E60F03" w:rsidRDefault="00597DEB" w:rsidP="007C4988">
      <w:pPr>
        <w:pStyle w:val="Prrafodelista"/>
        <w:spacing w:after="0"/>
        <w:ind w:left="360" w:right="-376"/>
        <w:rPr>
          <w:sz w:val="20"/>
          <w:szCs w:val="20"/>
        </w:rPr>
      </w:pPr>
    </w:p>
    <w:p w14:paraId="5E2D69CE" w14:textId="26A21996" w:rsidR="00E60F03" w:rsidRDefault="00663433" w:rsidP="007C4988">
      <w:pPr>
        <w:pStyle w:val="Prrafodelista"/>
        <w:numPr>
          <w:ilvl w:val="1"/>
          <w:numId w:val="2"/>
        </w:numPr>
        <w:spacing w:after="0"/>
        <w:ind w:right="-376"/>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1217F98" w:rsidR="00E60F03" w:rsidRDefault="00E60F03" w:rsidP="007C4988">
      <w:pPr>
        <w:pStyle w:val="Prrafodelista"/>
        <w:spacing w:after="0"/>
        <w:ind w:left="360" w:right="-376"/>
        <w:rPr>
          <w:sz w:val="20"/>
          <w:szCs w:val="20"/>
        </w:rPr>
      </w:pPr>
      <w:r>
        <w:rPr>
          <w:b/>
          <w:bCs/>
          <w:sz w:val="20"/>
          <w:szCs w:val="20"/>
        </w:rPr>
        <w:t xml:space="preserve">Unidad Administrativa o Grupo de </w:t>
      </w:r>
      <w:proofErr w:type="gramStart"/>
      <w:r>
        <w:rPr>
          <w:b/>
          <w:bCs/>
          <w:sz w:val="20"/>
          <w:szCs w:val="20"/>
        </w:rPr>
        <w:t>trabajo.-</w:t>
      </w:r>
      <w:proofErr w:type="gramEnd"/>
      <w:r>
        <w:rPr>
          <w:b/>
          <w:bCs/>
          <w:sz w:val="20"/>
          <w:szCs w:val="20"/>
        </w:rPr>
        <w:t xml:space="preserve"> </w:t>
      </w:r>
      <w:r w:rsidR="00A50F8D" w:rsidRPr="00A50F8D">
        <w:rPr>
          <w:sz w:val="20"/>
          <w:szCs w:val="20"/>
        </w:rPr>
        <w:t xml:space="preserve">Grupo de trabajo para la definición de indicadores de precisión para </w:t>
      </w:r>
      <w:r w:rsidR="008F6A3B">
        <w:rPr>
          <w:sz w:val="20"/>
          <w:szCs w:val="20"/>
        </w:rPr>
        <w:t>información geográfica</w:t>
      </w:r>
      <w:r w:rsidRPr="00A50F8D">
        <w:rPr>
          <w:sz w:val="20"/>
          <w:szCs w:val="20"/>
        </w:rPr>
        <w:t>.</w:t>
      </w:r>
    </w:p>
    <w:p w14:paraId="27212629" w14:textId="340B1312" w:rsidR="00464252" w:rsidRDefault="00597DEB" w:rsidP="002C2903">
      <w:pPr>
        <w:pStyle w:val="Prrafodelista"/>
        <w:spacing w:after="0"/>
        <w:ind w:left="360" w:right="-376"/>
        <w:jc w:val="both"/>
        <w:rPr>
          <w:sz w:val="20"/>
          <w:szCs w:val="20"/>
        </w:rPr>
      </w:pPr>
      <w:r w:rsidRPr="00597DEB">
        <w:rPr>
          <w:sz w:val="20"/>
          <w:szCs w:val="20"/>
        </w:rPr>
        <w:t>Javier Arellano Sánchez</w:t>
      </w:r>
      <w:r>
        <w:rPr>
          <w:sz w:val="20"/>
          <w:szCs w:val="20"/>
        </w:rPr>
        <w:t xml:space="preserve">, </w:t>
      </w:r>
      <w:r w:rsidR="002C2903">
        <w:rPr>
          <w:sz w:val="20"/>
          <w:szCs w:val="20"/>
        </w:rPr>
        <w:t>s</w:t>
      </w:r>
      <w:r>
        <w:rPr>
          <w:sz w:val="20"/>
          <w:szCs w:val="20"/>
        </w:rPr>
        <w:t>ubdirector</w:t>
      </w:r>
      <w:r w:rsidR="002C2903">
        <w:rPr>
          <w:sz w:val="20"/>
          <w:szCs w:val="20"/>
        </w:rPr>
        <w:t>.</w:t>
      </w:r>
      <w:r w:rsidR="00DF2F26" w:rsidRPr="00DF2F26">
        <w:rPr>
          <w:sz w:val="20"/>
          <w:szCs w:val="20"/>
        </w:rPr>
        <w:t xml:space="preserve"> </w:t>
      </w:r>
      <w:r>
        <w:rPr>
          <w:sz w:val="20"/>
          <w:szCs w:val="20"/>
        </w:rPr>
        <w:t xml:space="preserve">Dirección del Marco Geoestadístico. </w:t>
      </w:r>
      <w:r w:rsidR="00DF2F26" w:rsidRPr="00DF2F26">
        <w:rPr>
          <w:sz w:val="20"/>
          <w:szCs w:val="20"/>
        </w:rPr>
        <w:t>Dirección General de Geografía y Medio Ambiente</w:t>
      </w:r>
      <w:r w:rsidR="008F6A3B">
        <w:rPr>
          <w:sz w:val="20"/>
          <w:szCs w:val="20"/>
        </w:rPr>
        <w:t>.</w:t>
      </w:r>
    </w:p>
    <w:p w14:paraId="446B6F37" w14:textId="74003064" w:rsidR="00DF2F26" w:rsidRDefault="002C2903" w:rsidP="002C2903">
      <w:pPr>
        <w:pStyle w:val="Prrafodelista"/>
        <w:spacing w:after="0"/>
        <w:ind w:left="360" w:right="-376"/>
        <w:jc w:val="both"/>
        <w:rPr>
          <w:sz w:val="20"/>
          <w:szCs w:val="20"/>
        </w:rPr>
      </w:pPr>
      <w:r w:rsidRPr="002C2903">
        <w:rPr>
          <w:sz w:val="20"/>
          <w:szCs w:val="20"/>
        </w:rPr>
        <w:t xml:space="preserve">Esteban </w:t>
      </w:r>
      <w:proofErr w:type="spellStart"/>
      <w:r w:rsidRPr="002C2903">
        <w:rPr>
          <w:sz w:val="20"/>
          <w:szCs w:val="20"/>
        </w:rPr>
        <w:t>Jósbel</w:t>
      </w:r>
      <w:proofErr w:type="spellEnd"/>
      <w:r w:rsidRPr="002C2903">
        <w:rPr>
          <w:sz w:val="20"/>
          <w:szCs w:val="20"/>
        </w:rPr>
        <w:t xml:space="preserve"> Cabrera Castruita</w:t>
      </w:r>
      <w:r>
        <w:rPr>
          <w:sz w:val="20"/>
          <w:szCs w:val="20"/>
        </w:rPr>
        <w:t>, enlace de supervisión.</w:t>
      </w:r>
      <w:r w:rsidR="00DF2F26" w:rsidRPr="00DF2F26">
        <w:rPr>
          <w:sz w:val="20"/>
          <w:szCs w:val="20"/>
        </w:rPr>
        <w:t xml:space="preserve"> </w:t>
      </w:r>
      <w:r>
        <w:rPr>
          <w:sz w:val="20"/>
          <w:szCs w:val="20"/>
        </w:rPr>
        <w:t>Dirección del Marco Geoestadístico.</w:t>
      </w:r>
      <w:r w:rsidRPr="00DF2F26">
        <w:rPr>
          <w:sz w:val="20"/>
          <w:szCs w:val="20"/>
        </w:rPr>
        <w:t xml:space="preserve"> </w:t>
      </w:r>
      <w:r w:rsidR="00DF2F26" w:rsidRPr="00DF2F26">
        <w:rPr>
          <w:sz w:val="20"/>
          <w:szCs w:val="20"/>
        </w:rPr>
        <w:t>Dirección General de Geografía y Medio Ambiente.</w:t>
      </w:r>
    </w:p>
    <w:p w14:paraId="4A35A1B9" w14:textId="23662DDD" w:rsidR="002C2903" w:rsidRDefault="002C2903" w:rsidP="002C2903">
      <w:pPr>
        <w:pStyle w:val="Prrafodelista"/>
        <w:spacing w:after="0"/>
        <w:ind w:left="360" w:right="-376"/>
        <w:jc w:val="both"/>
        <w:rPr>
          <w:sz w:val="20"/>
          <w:szCs w:val="20"/>
        </w:rPr>
      </w:pPr>
      <w:r w:rsidRPr="002C2903">
        <w:rPr>
          <w:sz w:val="20"/>
          <w:szCs w:val="20"/>
        </w:rPr>
        <w:t>Guido Alejandro González Franco</w:t>
      </w:r>
      <w:r>
        <w:rPr>
          <w:sz w:val="20"/>
          <w:szCs w:val="20"/>
        </w:rPr>
        <w:t>, subdirector. Dirección del Marco Geoestadístico.</w:t>
      </w:r>
      <w:r w:rsidRPr="00DF2F26">
        <w:rPr>
          <w:sz w:val="20"/>
          <w:szCs w:val="20"/>
        </w:rPr>
        <w:t xml:space="preserve"> Dirección General de Geografía y Medio Ambiente.</w:t>
      </w:r>
    </w:p>
    <w:p w14:paraId="40C1EE32" w14:textId="5FDA3140" w:rsidR="002C2903" w:rsidRDefault="002C2903" w:rsidP="002C2903">
      <w:pPr>
        <w:pStyle w:val="Prrafodelista"/>
        <w:spacing w:after="0"/>
        <w:ind w:left="360" w:right="-376"/>
        <w:jc w:val="both"/>
        <w:rPr>
          <w:sz w:val="20"/>
          <w:szCs w:val="20"/>
        </w:rPr>
      </w:pPr>
      <w:r w:rsidRPr="002C2903">
        <w:rPr>
          <w:sz w:val="20"/>
          <w:szCs w:val="20"/>
        </w:rPr>
        <w:t>Francisco Javier Medina Parra</w:t>
      </w:r>
      <w:r>
        <w:rPr>
          <w:sz w:val="20"/>
          <w:szCs w:val="20"/>
        </w:rPr>
        <w:t xml:space="preserve">, director general adjunto. </w:t>
      </w:r>
      <w:r w:rsidRPr="002C2903">
        <w:rPr>
          <w:sz w:val="20"/>
          <w:szCs w:val="20"/>
        </w:rPr>
        <w:t>Dirección General Adjunta de Información Geográfica Básica. Dirección General de Geografía y Medio Ambiente.</w:t>
      </w:r>
      <w:r>
        <w:rPr>
          <w:sz w:val="20"/>
          <w:szCs w:val="20"/>
        </w:rPr>
        <w:t xml:space="preserve"> </w:t>
      </w:r>
    </w:p>
    <w:p w14:paraId="2EA02859" w14:textId="6F47DFDC" w:rsidR="002C2903" w:rsidRDefault="002C2903" w:rsidP="002C2903">
      <w:pPr>
        <w:pStyle w:val="Prrafodelista"/>
        <w:spacing w:after="0"/>
        <w:ind w:left="360" w:right="-376"/>
        <w:jc w:val="both"/>
        <w:rPr>
          <w:sz w:val="20"/>
          <w:szCs w:val="20"/>
        </w:rPr>
      </w:pPr>
      <w:r w:rsidRPr="002C2903">
        <w:rPr>
          <w:sz w:val="20"/>
          <w:szCs w:val="20"/>
        </w:rPr>
        <w:t>María Esther Rentería García</w:t>
      </w:r>
      <w:r>
        <w:rPr>
          <w:sz w:val="20"/>
          <w:szCs w:val="20"/>
        </w:rPr>
        <w:t>, enlace de supervisión. Dirección del Marco Geoestadístico.</w:t>
      </w:r>
      <w:r w:rsidRPr="00DF2F26">
        <w:rPr>
          <w:sz w:val="20"/>
          <w:szCs w:val="20"/>
        </w:rPr>
        <w:t xml:space="preserve"> Dirección General de Geografía y Medio Ambiente.</w:t>
      </w:r>
    </w:p>
    <w:p w14:paraId="46D54698" w14:textId="77777777" w:rsidR="002C2903" w:rsidRDefault="002C2903" w:rsidP="002C2903">
      <w:pPr>
        <w:pStyle w:val="Prrafodelista"/>
        <w:spacing w:after="0"/>
        <w:ind w:left="360" w:right="-376"/>
        <w:jc w:val="both"/>
        <w:rPr>
          <w:sz w:val="20"/>
          <w:szCs w:val="20"/>
        </w:rPr>
      </w:pPr>
      <w:r w:rsidRPr="002C2903">
        <w:rPr>
          <w:sz w:val="20"/>
          <w:szCs w:val="20"/>
        </w:rPr>
        <w:t>José Valentín Tenorio Zamarripa</w:t>
      </w:r>
      <w:r>
        <w:rPr>
          <w:sz w:val="20"/>
          <w:szCs w:val="20"/>
        </w:rPr>
        <w:t>, jefe de departamento. Dirección del Marco Geoestadístico.</w:t>
      </w:r>
      <w:r w:rsidRPr="00DF2F26">
        <w:rPr>
          <w:sz w:val="20"/>
          <w:szCs w:val="20"/>
        </w:rPr>
        <w:t xml:space="preserve"> Dirección General de Geografía y Medio Ambiente.</w:t>
      </w:r>
    </w:p>
    <w:p w14:paraId="06891234" w14:textId="77777777" w:rsidR="00E60F03" w:rsidRDefault="00E60F03" w:rsidP="007C4988">
      <w:pPr>
        <w:pStyle w:val="Prrafodelista"/>
        <w:spacing w:after="0"/>
        <w:ind w:left="360" w:right="-376"/>
        <w:rPr>
          <w:b/>
          <w:bCs/>
          <w:sz w:val="20"/>
          <w:szCs w:val="20"/>
        </w:rPr>
      </w:pPr>
    </w:p>
    <w:p w14:paraId="59D8DCD1" w14:textId="123572E0" w:rsidR="00E60F03" w:rsidRDefault="00E60F03" w:rsidP="007C4988">
      <w:pPr>
        <w:pStyle w:val="Prrafodelista"/>
        <w:numPr>
          <w:ilvl w:val="1"/>
          <w:numId w:val="2"/>
        </w:numPr>
        <w:spacing w:after="0"/>
        <w:ind w:right="-376"/>
        <w:rPr>
          <w:b/>
          <w:bCs/>
          <w:sz w:val="20"/>
          <w:szCs w:val="20"/>
        </w:rPr>
      </w:pPr>
      <w:r>
        <w:rPr>
          <w:b/>
          <w:bCs/>
          <w:sz w:val="20"/>
          <w:szCs w:val="20"/>
        </w:rPr>
        <w:t>Medios de difusión:</w:t>
      </w:r>
    </w:p>
    <w:p w14:paraId="3CC2B88A" w14:textId="299B80FF" w:rsidR="002C2903" w:rsidRPr="002C2903" w:rsidRDefault="002C2903" w:rsidP="002C2903">
      <w:pPr>
        <w:pStyle w:val="Prrafodelista"/>
        <w:spacing w:after="0"/>
        <w:ind w:left="360"/>
        <w:rPr>
          <w:sz w:val="20"/>
          <w:szCs w:val="20"/>
        </w:rPr>
      </w:pPr>
      <w:r w:rsidRPr="002C2903">
        <w:rPr>
          <w:sz w:val="20"/>
          <w:szCs w:val="20"/>
        </w:rPr>
        <w:t>Apartado 6.2 en los metadatos de cada uno de los productos evaluados</w:t>
      </w:r>
      <w:r>
        <w:rPr>
          <w:sz w:val="20"/>
          <w:szCs w:val="20"/>
        </w:rPr>
        <w:t xml:space="preserve">. </w:t>
      </w:r>
      <w:r w:rsidRPr="002C2903">
        <w:rPr>
          <w:sz w:val="20"/>
          <w:szCs w:val="20"/>
        </w:rPr>
        <w:t>Centro Distr</w:t>
      </w:r>
      <w:r>
        <w:rPr>
          <w:sz w:val="20"/>
          <w:szCs w:val="20"/>
        </w:rPr>
        <w:t>i</w:t>
      </w:r>
      <w:r w:rsidRPr="002C2903">
        <w:rPr>
          <w:sz w:val="20"/>
          <w:szCs w:val="20"/>
        </w:rPr>
        <w:t>buidor de Metadatos:</w:t>
      </w:r>
    </w:p>
    <w:p w14:paraId="5B28E2E4" w14:textId="049CD885" w:rsidR="00DF5B40" w:rsidRDefault="002C2903" w:rsidP="002C2903">
      <w:pPr>
        <w:pStyle w:val="Prrafodelista"/>
        <w:spacing w:after="0"/>
        <w:ind w:left="360"/>
        <w:rPr>
          <w:sz w:val="20"/>
          <w:szCs w:val="20"/>
        </w:rPr>
      </w:pPr>
      <w:hyperlink r:id="rId10" w:history="1">
        <w:r w:rsidRPr="00D6088F">
          <w:rPr>
            <w:rStyle w:val="Hipervnculo"/>
            <w:sz w:val="20"/>
            <w:szCs w:val="20"/>
          </w:rPr>
          <w:t>http://www.inegi.org.mx/geo/contenidos/metadatos/ntm.aspx?s=geo&amp;c=2374</w:t>
        </w:r>
      </w:hyperlink>
      <w:r>
        <w:rPr>
          <w:sz w:val="20"/>
          <w:szCs w:val="20"/>
        </w:rPr>
        <w:t xml:space="preserve"> </w:t>
      </w:r>
    </w:p>
    <w:p w14:paraId="28B695ED" w14:textId="77777777" w:rsidR="002C2903" w:rsidRPr="00100E12" w:rsidRDefault="002C2903"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12554EDA" w:rsidR="00100E12" w:rsidRDefault="001B7281" w:rsidP="007C4988">
      <w:pPr>
        <w:pStyle w:val="Prrafodelista"/>
        <w:spacing w:after="0"/>
        <w:ind w:left="360" w:right="-376"/>
        <w:jc w:val="both"/>
        <w:rPr>
          <w:sz w:val="20"/>
          <w:szCs w:val="20"/>
        </w:rPr>
      </w:pPr>
      <w:r>
        <w:rPr>
          <w:sz w:val="20"/>
          <w:szCs w:val="20"/>
        </w:rPr>
        <w:t>0</w:t>
      </w:r>
      <w:r w:rsidR="00EE6163">
        <w:rPr>
          <w:sz w:val="20"/>
          <w:szCs w:val="20"/>
        </w:rPr>
        <w:t>6</w:t>
      </w:r>
      <w:r w:rsidR="00100E12" w:rsidRPr="00100E12">
        <w:rPr>
          <w:sz w:val="20"/>
          <w:szCs w:val="20"/>
        </w:rPr>
        <w:t>/</w:t>
      </w:r>
      <w:r>
        <w:rPr>
          <w:sz w:val="20"/>
          <w:szCs w:val="20"/>
        </w:rPr>
        <w:t>06</w:t>
      </w:r>
      <w:r w:rsidR="00100E12" w:rsidRPr="00100E12">
        <w:rPr>
          <w:sz w:val="20"/>
          <w:szCs w:val="20"/>
        </w:rPr>
        <w:t>/20</w:t>
      </w:r>
      <w:r>
        <w:rPr>
          <w:sz w:val="20"/>
          <w:szCs w:val="20"/>
        </w:rPr>
        <w:t>2</w:t>
      </w:r>
      <w:r w:rsidR="00EE6163">
        <w:rPr>
          <w:sz w:val="20"/>
          <w:szCs w:val="20"/>
        </w:rPr>
        <w:t>3</w:t>
      </w:r>
      <w:r w:rsidR="00D42E7D">
        <w:rPr>
          <w:sz w:val="20"/>
          <w:szCs w:val="20"/>
        </w:rPr>
        <w:t xml:space="preserve">. </w:t>
      </w:r>
    </w:p>
    <w:p w14:paraId="683DB07F" w14:textId="77777777" w:rsidR="00100E12" w:rsidRDefault="00100E12" w:rsidP="007C4988">
      <w:pPr>
        <w:pStyle w:val="Prrafodelista"/>
        <w:spacing w:after="0"/>
        <w:ind w:left="360" w:right="-376"/>
        <w:jc w:val="both"/>
        <w:rPr>
          <w:sz w:val="20"/>
          <w:szCs w:val="20"/>
        </w:rPr>
      </w:pPr>
    </w:p>
    <w:p w14:paraId="074DE459" w14:textId="77777777" w:rsidR="00F37A79" w:rsidRDefault="00F37A79"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16B4BC98" w14:textId="77777777" w:rsidR="007C4988" w:rsidRDefault="007C498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61C0356E" w:rsidR="0097395E" w:rsidRPr="00464252" w:rsidRDefault="00925F3D"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Levantamientos geodésicos y p</w:t>
      </w:r>
      <w:r w:rsidR="008F6A3B" w:rsidRPr="008F6A3B">
        <w:rPr>
          <w:rFonts w:ascii="Calibri" w:eastAsia="Times New Roman" w:hAnsi="Calibri" w:cs="Calibri"/>
          <w:color w:val="000000"/>
          <w:kern w:val="0"/>
          <w:sz w:val="20"/>
          <w:szCs w:val="20"/>
          <w:lang w:eastAsia="es-MX"/>
          <w14:ligatures w14:val="none"/>
        </w:rPr>
        <w:t>roceso de generación de información topográfica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309FB57B" w:rsidR="0097395E" w:rsidRPr="0097395E" w:rsidRDefault="00EE6163" w:rsidP="001B728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El Círculo de Error Probable es el estadístico para representar la exactitud de coordenadas horizontales en el intervalo de confianza del 95% de una Estación Horizontal Pasiva o Punto para fines especiales, en conformidad con la Norma Técnica de Estándares de Exactitud Posicional.</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4CC4BF39" w:rsidR="0097395E" w:rsidRPr="0097395E" w:rsidRDefault="00EE6163"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El Cí</w:t>
      </w:r>
      <w:r>
        <w:rPr>
          <w:rFonts w:ascii="Calibri" w:eastAsia="Times New Roman" w:hAnsi="Calibri" w:cs="Calibri"/>
          <w:color w:val="000000"/>
          <w:kern w:val="0"/>
          <w:sz w:val="20"/>
          <w:szCs w:val="20"/>
          <w:lang w:eastAsia="es-MX"/>
          <w14:ligatures w14:val="none"/>
        </w:rPr>
        <w:t>r</w:t>
      </w:r>
      <w:r w:rsidRPr="00EE6163">
        <w:rPr>
          <w:rFonts w:ascii="Calibri" w:eastAsia="Times New Roman" w:hAnsi="Calibri" w:cs="Calibri"/>
          <w:color w:val="000000"/>
          <w:kern w:val="0"/>
          <w:sz w:val="20"/>
          <w:szCs w:val="20"/>
          <w:lang w:eastAsia="es-MX"/>
          <w14:ligatures w14:val="none"/>
        </w:rPr>
        <w:t>culo de Error Probable se c</w:t>
      </w:r>
      <w:r>
        <w:rPr>
          <w:rFonts w:ascii="Calibri" w:eastAsia="Times New Roman" w:hAnsi="Calibri" w:cs="Calibri"/>
          <w:color w:val="000000"/>
          <w:kern w:val="0"/>
          <w:sz w:val="20"/>
          <w:szCs w:val="20"/>
          <w:lang w:eastAsia="es-MX"/>
          <w14:ligatures w14:val="none"/>
        </w:rPr>
        <w:t>a</w:t>
      </w:r>
      <w:r w:rsidRPr="00EE6163">
        <w:rPr>
          <w:rFonts w:ascii="Calibri" w:eastAsia="Times New Roman" w:hAnsi="Calibri" w:cs="Calibri"/>
          <w:color w:val="000000"/>
          <w:kern w:val="0"/>
          <w:sz w:val="20"/>
          <w:szCs w:val="20"/>
          <w:lang w:eastAsia="es-MX"/>
          <w14:ligatures w14:val="none"/>
        </w:rPr>
        <w:t>lcula por cada Estación Horizontal Pasiva o Punto para fines especiales generados dentro de un determinado proyecto de captación.</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38689BF4" w:rsidR="0097395E" w:rsidRPr="0097395E" w:rsidRDefault="00EE6163"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El Círculo de Error Probable se reportará dentro de los treinta días hábiles siguientes a la validación del expediente de cada proyecto en el metadato correspondiente y se publicará anualmente.</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03062FE8" w:rsidR="0097395E" w:rsidRPr="0097395E" w:rsidRDefault="00EE6163"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Para el Círculo de Error Probable el tiempo de referencia es el periodo de levantamiento de las Estaciones Horizontales Pasivas o Puntos para fines especiales en el metadato correspondiente</w:t>
      </w:r>
      <w:r w:rsidR="001B7281" w:rsidRPr="001B7281">
        <w:rPr>
          <w:rFonts w:ascii="Calibri" w:eastAsia="Times New Roman" w:hAnsi="Calibri" w:cs="Calibri"/>
          <w:color w:val="000000"/>
          <w:kern w:val="0"/>
          <w:sz w:val="20"/>
          <w:szCs w:val="20"/>
          <w:lang w:eastAsia="es-MX"/>
          <w14:ligatures w14:val="none"/>
        </w:rPr>
        <w:t>.</w:t>
      </w:r>
    </w:p>
    <w:p w14:paraId="08A88D22" w14:textId="77777777" w:rsidR="0097395E" w:rsidRDefault="0097395E"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510A84BC" w14:textId="6F46A5C0"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0558B997" w14:textId="7777777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15ABBB07" w14:textId="77777777" w:rsidR="00EE6163" w:rsidRPr="00EE6163" w:rsidRDefault="00EE6163" w:rsidP="00EE6163">
      <w:pPr>
        <w:pStyle w:val="Prrafodelista"/>
        <w:ind w:left="426" w:right="-376"/>
        <w:jc w:val="both"/>
        <w:rPr>
          <w:rFonts w:ascii="Cambria Math" w:eastAsia="Times New Roman" w:hAnsi="Cambria Math" w:cs="Calibri"/>
          <w:color w:val="000000"/>
          <w:kern w:val="0"/>
          <w:sz w:val="20"/>
          <w:szCs w:val="20"/>
          <w:lang w:eastAsia="es-MX"/>
          <w14:ligatures w14:val="none"/>
        </w:rPr>
      </w:pPr>
      <w:r w:rsidRPr="00EE6163">
        <w:rPr>
          <w:rFonts w:ascii="Cambria Math" w:eastAsia="Times New Roman" w:hAnsi="Cambria Math" w:cs="Calibri"/>
          <w:color w:val="000000"/>
          <w:kern w:val="0"/>
          <w:sz w:val="20"/>
          <w:szCs w:val="20"/>
          <w:lang w:eastAsia="es-MX"/>
          <w14:ligatures w14:val="none"/>
        </w:rPr>
        <w:t xml:space="preserve">El Círculo de Error Probable o CEP por sus siglas en inglés, frecuentemente se utiliza para definir la calidad de un posicionamiento sobre la superficie terrestre. El </w:t>
      </w:r>
      <w:r w:rsidRPr="00EE6163">
        <w:rPr>
          <w:rFonts w:ascii="Cambria Math" w:eastAsia="Times New Roman" w:hAnsi="Cambria Math" w:cs="Calibri"/>
          <w:color w:val="000000"/>
          <w:kern w:val="0"/>
          <w:sz w:val="20"/>
          <w:szCs w:val="20"/>
          <w:lang w:val="es-ES" w:eastAsia="es-MX"/>
          <w14:ligatures w14:val="none"/>
        </w:rPr>
        <w:t>CEP</w:t>
      </w:r>
      <w:proofErr w:type="gramStart"/>
      <w:r w:rsidRPr="00EE6163">
        <w:rPr>
          <w:rFonts w:ascii="Cambria Math" w:eastAsia="Times New Roman" w:hAnsi="Cambria Math" w:cs="Calibri"/>
          <w:color w:val="000000"/>
          <w:kern w:val="0"/>
          <w:sz w:val="20"/>
          <w:szCs w:val="20"/>
          <w:vertAlign w:val="subscript"/>
          <w:lang w:val="es-ES" w:eastAsia="es-MX"/>
          <w14:ligatures w14:val="none"/>
        </w:rPr>
        <w:t xml:space="preserve">95 </w:t>
      </w:r>
      <w:r w:rsidRPr="00EE6163">
        <w:rPr>
          <w:rFonts w:ascii="Cambria Math" w:eastAsia="Times New Roman" w:hAnsi="Cambria Math" w:cs="Calibri"/>
          <w:color w:val="000000"/>
          <w:kern w:val="0"/>
          <w:sz w:val="20"/>
          <w:szCs w:val="20"/>
          <w:lang w:eastAsia="es-MX"/>
          <w14:ligatures w14:val="none"/>
        </w:rPr>
        <w:t xml:space="preserve"> es</w:t>
      </w:r>
      <w:proofErr w:type="gramEnd"/>
      <w:r w:rsidRPr="00EE6163">
        <w:rPr>
          <w:rFonts w:ascii="Cambria Math" w:eastAsia="Times New Roman" w:hAnsi="Cambria Math" w:cs="Calibri"/>
          <w:color w:val="000000"/>
          <w:kern w:val="0"/>
          <w:sz w:val="20"/>
          <w:szCs w:val="20"/>
          <w:lang w:eastAsia="es-MX"/>
          <w14:ligatures w14:val="none"/>
        </w:rPr>
        <w:t xml:space="preserve"> el radio de un círculo en el que se tiene un 95% de probabilidad de que se encuentre estadísticamente el valor verdadero y se calcula por medio de la relación: </w:t>
      </w:r>
    </w:p>
    <w:p w14:paraId="51DDD8D7" w14:textId="56E3C088" w:rsidR="00EE6163" w:rsidRDefault="00EE6163" w:rsidP="00EE6163">
      <w:pPr>
        <w:pStyle w:val="Prrafodelista"/>
        <w:spacing w:after="0" w:line="240" w:lineRule="auto"/>
        <w:ind w:left="2977" w:right="-376"/>
        <w:rPr>
          <w:rFonts w:ascii="Calibri" w:eastAsia="Times New Roman" w:hAnsi="Calibri" w:cs="Calibri"/>
          <w:b/>
          <w:bCs/>
          <w:color w:val="000000"/>
          <w:kern w:val="0"/>
          <w:sz w:val="20"/>
          <w:szCs w:val="20"/>
          <w:lang w:eastAsia="es-MX"/>
          <w14:ligatures w14:val="none"/>
        </w:rPr>
      </w:pPr>
    </w:p>
    <w:p w14:paraId="40E2B79D" w14:textId="3D6DF4A6" w:rsidR="00C470FC" w:rsidRPr="007229D3" w:rsidRDefault="007229D3" w:rsidP="007229D3">
      <w:pPr>
        <w:pStyle w:val="Prrafodelista"/>
        <w:spacing w:after="0" w:line="240" w:lineRule="auto"/>
        <w:ind w:left="3119" w:right="-376"/>
        <w:rPr>
          <w:rFonts w:ascii="Calibri" w:eastAsia="Times New Roman" w:hAnsi="Calibri" w:cs="Calibri"/>
          <w:color w:val="000000"/>
          <w:kern w:val="0"/>
          <w:sz w:val="20"/>
          <w:szCs w:val="20"/>
          <w:vertAlign w:val="subscript"/>
          <w:lang w:eastAsia="es-MX"/>
          <w14:ligatures w14:val="none"/>
        </w:rPr>
      </w:pPr>
      <w:r w:rsidRPr="007229D3">
        <w:rPr>
          <w:rFonts w:ascii="Calibri" w:eastAsia="Times New Roman" w:hAnsi="Calibri" w:cs="Calibri"/>
          <w:i/>
          <w:iCs/>
          <w:color w:val="000000"/>
          <w:kern w:val="0"/>
          <w:sz w:val="20"/>
          <w:szCs w:val="20"/>
          <w:lang w:eastAsia="es-MX"/>
          <w14:ligatures w14:val="none"/>
        </w:rPr>
        <w:t>CEP</w:t>
      </w:r>
      <w:r w:rsidRPr="007229D3">
        <w:rPr>
          <w:rFonts w:ascii="Calibri" w:eastAsia="Times New Roman" w:hAnsi="Calibri" w:cs="Calibri"/>
          <w:color w:val="000000"/>
          <w:kern w:val="0"/>
          <w:sz w:val="20"/>
          <w:szCs w:val="20"/>
          <w:vertAlign w:val="subscript"/>
          <w:lang w:eastAsia="es-MX"/>
          <w14:ligatures w14:val="none"/>
        </w:rPr>
        <w:t>95</w:t>
      </w:r>
      <w:r>
        <w:rPr>
          <w:rFonts w:ascii="Calibri" w:eastAsia="Times New Roman" w:hAnsi="Calibri" w:cs="Calibri"/>
          <w:color w:val="000000"/>
          <w:kern w:val="0"/>
          <w:sz w:val="20"/>
          <w:szCs w:val="20"/>
          <w:vertAlign w:val="subscript"/>
          <w:lang w:eastAsia="es-MX"/>
          <w14:ligatures w14:val="none"/>
        </w:rPr>
        <w:t xml:space="preserve"> </w:t>
      </w:r>
      <w:r w:rsidRPr="007229D3">
        <w:rPr>
          <w:rFonts w:ascii="Calibri" w:eastAsia="Times New Roman" w:hAnsi="Calibri" w:cs="Calibri"/>
          <w:color w:val="000000"/>
          <w:kern w:val="0"/>
          <w:sz w:val="20"/>
          <w:szCs w:val="20"/>
          <w:lang w:eastAsia="es-MX"/>
          <w14:ligatures w14:val="none"/>
        </w:rPr>
        <w:t>=</w:t>
      </w:r>
      <w:r>
        <w:rPr>
          <w:rFonts w:ascii="Calibri" w:eastAsia="Times New Roman" w:hAnsi="Calibri" w:cs="Calibri"/>
          <w:color w:val="000000"/>
          <w:kern w:val="0"/>
          <w:sz w:val="20"/>
          <w:szCs w:val="20"/>
          <w:lang w:eastAsia="es-MX"/>
          <w14:ligatures w14:val="none"/>
        </w:rPr>
        <w:t xml:space="preserve"> </w:t>
      </w:r>
      <w:r w:rsidRPr="007229D3">
        <w:rPr>
          <w:rFonts w:ascii="Calibri" w:eastAsia="Times New Roman" w:hAnsi="Calibri" w:cs="Calibri"/>
          <w:color w:val="000000"/>
          <w:kern w:val="0"/>
          <w:sz w:val="20"/>
          <w:szCs w:val="20"/>
          <w:lang w:eastAsia="es-MX"/>
          <w14:ligatures w14:val="none"/>
        </w:rPr>
        <w:t>1.2238(</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σ</m:t>
            </m:r>
          </m:e>
          <m:sub>
            <m:r>
              <m:rPr>
                <m:sty m:val="p"/>
              </m:rPr>
              <w:rPr>
                <w:rFonts w:ascii="Cambria Math" w:eastAsia="Times New Roman" w:hAnsi="Cambria Math" w:cs="Calibri"/>
                <w:color w:val="000000"/>
                <w:kern w:val="0"/>
                <w:sz w:val="20"/>
                <w:szCs w:val="20"/>
                <w:lang w:eastAsia="es-MX"/>
                <w14:ligatures w14:val="none"/>
              </w:rPr>
              <m:t>Φ</m:t>
            </m:r>
          </m:sub>
        </m:sSub>
        <m:r>
          <m:rPr>
            <m:sty m:val="p"/>
          </m:rP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σ</m:t>
            </m:r>
          </m:e>
          <m:sub>
            <m:r>
              <m:rPr>
                <m:sty m:val="p"/>
              </m:rPr>
              <w:rPr>
                <w:rFonts w:ascii="Cambria Math" w:eastAsia="Times New Roman" w:hAnsi="Cambria Math" w:cs="Calibri"/>
                <w:color w:val="000000"/>
                <w:kern w:val="0"/>
                <w:sz w:val="20"/>
                <w:szCs w:val="20"/>
                <w:lang w:eastAsia="es-MX"/>
                <w14:ligatures w14:val="none"/>
              </w:rPr>
              <m:t>λ</m:t>
            </m:r>
          </m:sub>
        </m:sSub>
      </m:oMath>
      <w:r w:rsidRPr="007229D3">
        <w:rPr>
          <w:rFonts w:ascii="Calibri" w:eastAsia="Times New Roman" w:hAnsi="Calibri" w:cs="Calibri"/>
          <w:color w:val="000000"/>
          <w:kern w:val="0"/>
          <w:sz w:val="20"/>
          <w:szCs w:val="20"/>
          <w:lang w:eastAsia="es-MX"/>
          <w14:ligatures w14:val="none"/>
        </w:rPr>
        <w:t>)</w:t>
      </w:r>
    </w:p>
    <w:p w14:paraId="1E0F55AA" w14:textId="77777777" w:rsidR="007229D3" w:rsidRDefault="007229D3" w:rsidP="007229D3">
      <w:pPr>
        <w:pStyle w:val="Prrafodelista"/>
        <w:ind w:left="426" w:right="-376"/>
        <w:rPr>
          <w:rFonts w:ascii="Calibri" w:eastAsia="Times New Roman" w:hAnsi="Calibri" w:cs="Calibri"/>
          <w:color w:val="000000"/>
          <w:kern w:val="0"/>
          <w:sz w:val="20"/>
          <w:szCs w:val="20"/>
          <w:lang w:eastAsia="es-MX"/>
          <w14:ligatures w14:val="none"/>
        </w:rPr>
      </w:pPr>
    </w:p>
    <w:p w14:paraId="2AA3B784" w14:textId="46860234" w:rsidR="007229D3" w:rsidRPr="007229D3" w:rsidRDefault="00EE6163" w:rsidP="007229D3">
      <w:pPr>
        <w:pStyle w:val="Prrafodelista"/>
        <w:ind w:left="426" w:right="-376"/>
        <w:rPr>
          <w:rFonts w:ascii="Calibri" w:eastAsia="Times New Roman" w:hAnsi="Calibri" w:cs="Calibri"/>
          <w:iCs/>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Donde:</w:t>
      </w:r>
      <m:oMath>
        <m:r>
          <w:rPr>
            <w:rFonts w:ascii="Cambria Math" w:eastAsia="Times New Roman" w:hAnsi="Cambria Math" w:cs="Calibri"/>
            <w:color w:val="000000"/>
            <w:kern w:val="0"/>
            <w:sz w:val="20"/>
            <w:szCs w:val="20"/>
            <w:lang w:eastAsia="es-MX"/>
            <w14:ligatures w14:val="none"/>
          </w:rPr>
          <m:t> </m:t>
        </m:r>
      </m:oMath>
    </w:p>
    <w:p w14:paraId="7D2CD554" w14:textId="26638EAE" w:rsidR="00EE6163" w:rsidRPr="007229D3" w:rsidRDefault="007229D3" w:rsidP="007229D3">
      <w:pPr>
        <w:pStyle w:val="Prrafodelista"/>
        <w:ind w:left="426" w:right="3593"/>
        <w:rPr>
          <w:rFonts w:ascii="Calibri" w:eastAsia="Times New Roman" w:hAnsi="Calibri" w:cs="Calibri"/>
          <w:color w:val="000000"/>
          <w:kern w:val="0"/>
          <w:sz w:val="20"/>
          <w:szCs w:val="20"/>
          <w:lang w:eastAsia="es-MX"/>
          <w14:ligatures w14:val="none"/>
        </w:rPr>
      </w:pPr>
      <m:oMathPara>
        <m:oMath>
          <m:r>
            <w:rPr>
              <w:rFonts w:ascii="Cambria Math" w:eastAsia="Times New Roman" w:hAnsi="Cambria Math" w:cs="Calibri"/>
              <w:color w:val="000000"/>
              <w:kern w:val="0"/>
              <w:sz w:val="20"/>
              <w:szCs w:val="20"/>
              <w:lang w:eastAsia="es-MX"/>
              <w14:ligatures w14:val="none"/>
            </w:rPr>
            <m:t>CEP</m:t>
          </m:r>
          <m:r>
            <w:rPr>
              <w:rFonts w:ascii="Cambria Math" w:eastAsia="Times New Roman" w:hAnsi="Cambria Math" w:cs="Calibri"/>
              <w:color w:val="000000"/>
              <w:kern w:val="0"/>
              <w:sz w:val="20"/>
              <w:szCs w:val="20"/>
              <w:vertAlign w:val="subscript"/>
              <w:lang w:eastAsia="es-MX"/>
              <w14:ligatures w14:val="none"/>
            </w:rPr>
            <m:t>95</m:t>
          </m:r>
          <m:r>
            <w:rPr>
              <w:rFonts w:ascii="Cambria Math" w:eastAsia="Times New Roman" w:hAnsi="Cambria Math" w:cs="Calibri"/>
              <w:color w:val="000000"/>
              <w:kern w:val="0"/>
              <w:sz w:val="20"/>
              <w:szCs w:val="20"/>
              <w:lang w:eastAsia="es-MX"/>
              <w14:ligatures w14:val="none"/>
            </w:rPr>
            <m:t>=Círculo de Error Probable</m:t>
          </m:r>
        </m:oMath>
      </m:oMathPara>
    </w:p>
    <w:p w14:paraId="3C01031C" w14:textId="4DC9DA04" w:rsidR="00EE6163" w:rsidRPr="00EE6163" w:rsidRDefault="00000000" w:rsidP="007229D3">
      <w:pPr>
        <w:pStyle w:val="Prrafodelista"/>
        <w:ind w:left="851" w:right="3309"/>
        <w:rPr>
          <w:rFonts w:ascii="Calibri" w:eastAsia="Times New Roman" w:hAnsi="Calibri" w:cs="Calibri"/>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σ</m:t>
              </m:r>
            </m:e>
            <m:sub>
              <m:r>
                <w:rPr>
                  <w:rFonts w:ascii="Cambria Math" w:eastAsia="Times New Roman" w:hAnsi="Cambria Math" w:cs="Calibri"/>
                  <w:color w:val="000000"/>
                  <w:kern w:val="0"/>
                  <w:sz w:val="20"/>
                  <w:szCs w:val="20"/>
                  <w:lang w:val="el-GR" w:eastAsia="es-MX"/>
                  <w14:ligatures w14:val="none"/>
                </w:rPr>
                <m:t>Φ</m:t>
              </m:r>
            </m:sub>
          </m:sSub>
          <m:r>
            <w:rPr>
              <w:rFonts w:ascii="Cambria Math" w:eastAsia="Times New Roman" w:hAnsi="Cambria Math" w:cs="Calibri"/>
              <w:color w:val="000000"/>
              <w:kern w:val="0"/>
              <w:sz w:val="20"/>
              <w:szCs w:val="20"/>
              <w:lang w:eastAsia="es-MX"/>
              <w14:ligatures w14:val="none"/>
            </w:rPr>
            <m:t>=       Desviación estándar de la latitud</m:t>
          </m:r>
        </m:oMath>
      </m:oMathPara>
    </w:p>
    <w:p w14:paraId="0DE10BF0" w14:textId="44597FDA" w:rsidR="00EE6163" w:rsidRPr="00EE6163" w:rsidRDefault="00EE6163" w:rsidP="007229D3">
      <w:pPr>
        <w:pStyle w:val="Prrafodelista"/>
        <w:ind w:left="1276" w:right="-376"/>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l-GR" w:eastAsia="es-MX"/>
                <w14:ligatures w14:val="none"/>
              </w:rPr>
            </m:ctrlPr>
          </m:sSubPr>
          <m:e>
            <m:r>
              <w:rPr>
                <w:rFonts w:ascii="Cambria Math" w:eastAsia="Times New Roman" w:hAnsi="Cambria Math" w:cs="Calibri"/>
                <w:color w:val="000000"/>
                <w:kern w:val="0"/>
                <w:sz w:val="20"/>
                <w:szCs w:val="20"/>
                <w:lang w:val="el-GR" w:eastAsia="es-MX"/>
                <w14:ligatures w14:val="none"/>
              </w:rPr>
              <m:t>σ</m:t>
            </m:r>
          </m:e>
          <m:sub>
            <m:r>
              <w:rPr>
                <w:rFonts w:ascii="Cambria Math" w:eastAsia="Times New Roman" w:hAnsi="Cambria Math" w:cs="Calibri"/>
                <w:color w:val="000000"/>
                <w:kern w:val="0"/>
                <w:sz w:val="20"/>
                <w:szCs w:val="20"/>
                <w:lang w:val="el-GR" w:eastAsia="es-MX"/>
                <w14:ligatures w14:val="none"/>
              </w:rPr>
              <m:t>λ</m:t>
            </m:r>
          </m:sub>
        </m:sSub>
        <m:r>
          <w:rPr>
            <w:rFonts w:ascii="Cambria Math" w:eastAsia="Times New Roman" w:hAnsi="Cambria Math" w:cs="Calibri"/>
            <w:color w:val="000000"/>
            <w:kern w:val="0"/>
            <w:sz w:val="20"/>
            <w:szCs w:val="20"/>
            <w:lang w:val="el-GR" w:eastAsia="es-MX"/>
            <w14:ligatures w14:val="none"/>
          </w:rPr>
          <m:t xml:space="preserve">= </m:t>
        </m:r>
        <m:r>
          <w:rPr>
            <w:rFonts w:ascii="Cambria Math" w:eastAsia="Times New Roman" w:hAnsi="Cambria Math" w:cs="Calibri"/>
            <w:color w:val="000000"/>
            <w:kern w:val="0"/>
            <w:sz w:val="20"/>
            <w:szCs w:val="20"/>
            <w:lang w:eastAsia="es-MX"/>
            <w14:ligatures w14:val="none"/>
          </w:rPr>
          <m:t xml:space="preserve">      </m:t>
        </m:r>
        <m:r>
          <w:rPr>
            <w:rFonts w:ascii="Cambria Math" w:eastAsia="Times New Roman" w:hAnsi="Cambria Math" w:cs="Calibri"/>
            <w:color w:val="000000"/>
            <w:kern w:val="0"/>
            <w:sz w:val="20"/>
            <w:szCs w:val="20"/>
            <w:lang w:val="el-GR" w:eastAsia="es-MX"/>
            <w14:ligatures w14:val="none"/>
          </w:rPr>
          <m:t>Desviaci</m:t>
        </m:r>
        <m:r>
          <w:rPr>
            <w:rFonts w:ascii="Cambria Math" w:eastAsia="Times New Roman" w:hAnsi="Cambria Math" w:cs="Calibri"/>
            <w:color w:val="000000"/>
            <w:kern w:val="0"/>
            <w:sz w:val="20"/>
            <w:szCs w:val="20"/>
            <w:lang w:eastAsia="es-MX"/>
            <w14:ligatures w14:val="none"/>
          </w:rPr>
          <m:t>ón estándar de la longitud</m:t>
        </m:r>
      </m:oMath>
    </w:p>
    <w:p w14:paraId="6104D8FD"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7437BFBC" w14:textId="77777777" w:rsidR="00EE6163" w:rsidRPr="007229D3" w:rsidRDefault="00EE6163" w:rsidP="00EE6163">
      <w:pPr>
        <w:pStyle w:val="Prrafodelista"/>
        <w:ind w:left="426" w:right="-376"/>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Consideraciones:</w:t>
      </w:r>
    </w:p>
    <w:p w14:paraId="1FE01799" w14:textId="77777777" w:rsidR="007229D3" w:rsidRPr="00EE6163" w:rsidRDefault="007229D3" w:rsidP="00EE6163">
      <w:pPr>
        <w:pStyle w:val="Prrafodelista"/>
        <w:ind w:left="426" w:right="-376"/>
        <w:rPr>
          <w:rFonts w:ascii="Calibri" w:eastAsia="Times New Roman" w:hAnsi="Calibri" w:cs="Calibri"/>
          <w:color w:val="000000"/>
          <w:kern w:val="0"/>
          <w:sz w:val="20"/>
          <w:szCs w:val="20"/>
          <w:lang w:eastAsia="es-MX"/>
          <w14:ligatures w14:val="none"/>
        </w:rPr>
      </w:pPr>
    </w:p>
    <w:p w14:paraId="19C37C3F" w14:textId="77777777" w:rsidR="00EE6163" w:rsidRPr="00EE6163" w:rsidRDefault="00EE6163" w:rsidP="007229D3">
      <w:pPr>
        <w:pStyle w:val="Prrafodelista"/>
        <w:ind w:left="426" w:right="-376"/>
        <w:jc w:val="both"/>
        <w:rPr>
          <w:rFonts w:ascii="Calibri" w:eastAsia="Times New Roman" w:hAnsi="Calibri" w:cs="Calibri"/>
          <w:color w:val="000000"/>
          <w:kern w:val="0"/>
          <w:sz w:val="20"/>
          <w:szCs w:val="20"/>
          <w:lang w:eastAsia="es-MX"/>
          <w14:ligatures w14:val="none"/>
        </w:rPr>
      </w:pPr>
      <w:r w:rsidRPr="00EE6163">
        <w:rPr>
          <w:rFonts w:ascii="Calibri" w:eastAsia="Times New Roman" w:hAnsi="Calibri" w:cs="Calibri"/>
          <w:color w:val="000000"/>
          <w:kern w:val="0"/>
          <w:sz w:val="20"/>
          <w:szCs w:val="20"/>
          <w:lang w:eastAsia="es-MX"/>
          <w14:ligatures w14:val="none"/>
        </w:rPr>
        <w:t>Cuando las coordenadas de una Estación Horizontal Pasiva o un Punto para fines especiales: Punto de Control Terrestre o Punto para evaluación de la calidad, se vincule o ligue directamente con estaciones de la Red Geodésica Nacional Activa (RGNA), se calculará de la siguiente manera:</w:t>
      </w:r>
    </w:p>
    <w:p w14:paraId="5059792E"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FC7AC63" w14:textId="4CAC9702" w:rsidR="00EE6163" w:rsidRPr="00216533" w:rsidRDefault="00EE6163" w:rsidP="00C470FC">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Ejemplo:</w:t>
      </w:r>
    </w:p>
    <w:p w14:paraId="3F3602A0" w14:textId="142A1739"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r>
        <w:rPr>
          <w:noProof/>
        </w:rPr>
        <w:drawing>
          <wp:inline distT="0" distB="0" distL="0" distR="0" wp14:anchorId="773FD7DB" wp14:editId="255AF631">
            <wp:extent cx="4000500" cy="400050"/>
            <wp:effectExtent l="0" t="0" r="0" b="0"/>
            <wp:docPr id="9" name="Imagen 8" descr="Tabla&#10;&#10;El contenido generado por IA puede ser incorrecto.">
              <a:extLst xmlns:a="http://schemas.openxmlformats.org/drawingml/2006/main">
                <a:ext uri="{FF2B5EF4-FFF2-40B4-BE49-F238E27FC236}">
                  <a16:creationId xmlns:a16="http://schemas.microsoft.com/office/drawing/2014/main" id="{00000000-0008-0000-0100-000009000000}"/>
                </a:ext>
                <a:ext uri="{147F2762-F138-4A5C-976F-8EAC2B608ADB}">
                  <a16:predDERef xmlns:a16="http://schemas.microsoft.com/office/drawing/2014/main" pre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Tabla&#10;&#10;El contenido generado por IA puede ser incorrecto.">
                      <a:extLst>
                        <a:ext uri="{FF2B5EF4-FFF2-40B4-BE49-F238E27FC236}">
                          <a16:creationId xmlns:a16="http://schemas.microsoft.com/office/drawing/2014/main" id="{00000000-0008-0000-0100-000009000000}"/>
                        </a:ext>
                        <a:ext uri="{147F2762-F138-4A5C-976F-8EAC2B608ADB}">
                          <a16:predDERef xmlns:a16="http://schemas.microsoft.com/office/drawing/2014/main" pred="{00000000-0008-0000-0100-000003000000}"/>
                        </a:ext>
                      </a:extLst>
                    </pic:cNvPr>
                    <pic:cNvPicPr>
                      <a:picLocks noChangeAspect="1"/>
                    </pic:cNvPicPr>
                  </pic:nvPicPr>
                  <pic:blipFill>
                    <a:blip r:embed="rId11"/>
                    <a:stretch>
                      <a:fillRect/>
                    </a:stretch>
                  </pic:blipFill>
                  <pic:spPr>
                    <a:xfrm>
                      <a:off x="0" y="0"/>
                      <a:ext cx="4000500" cy="400050"/>
                    </a:xfrm>
                    <a:prstGeom prst="rect">
                      <a:avLst/>
                    </a:prstGeom>
                  </pic:spPr>
                </pic:pic>
              </a:graphicData>
            </a:graphic>
          </wp:inline>
        </w:drawing>
      </w:r>
    </w:p>
    <w:p w14:paraId="6E701F4E"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D9F4F41" w14:textId="4F4078C7" w:rsidR="00EE6163" w:rsidRPr="007229D3" w:rsidRDefault="00EE6163" w:rsidP="007229D3">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7229D3">
        <w:rPr>
          <w:rFonts w:ascii="Calibri" w:eastAsia="Times New Roman" w:hAnsi="Calibri" w:cs="Calibri"/>
          <w:color w:val="000000"/>
          <w:kern w:val="0"/>
          <w:sz w:val="20"/>
          <w:szCs w:val="20"/>
          <w:lang w:eastAsia="es-MX"/>
          <w14:ligatures w14:val="none"/>
        </w:rPr>
        <w:t xml:space="preserve">En levantamientos geodésicos con GNSS, cuando las coordenadas de una Estación Horizontal Pasiva o un Punto para fines especiales: Punto de Control Terrestre o Punto para evaluación de la calidad, se relacione o ligue directamente con puntos distintos a la RGNA se le agregará el </w:t>
      </w:r>
      <m:oMath>
        <m:r>
          <w:rPr>
            <w:rFonts w:ascii="Cambria Math" w:eastAsia="Times New Roman" w:hAnsi="Cambria Math" w:cs="Calibri"/>
            <w:color w:val="000000"/>
            <w:kern w:val="0"/>
            <w:sz w:val="20"/>
            <w:szCs w:val="20"/>
            <w:lang w:eastAsia="es-MX"/>
            <w14:ligatures w14:val="none"/>
          </w:rPr>
          <m:t>CEP</m:t>
        </m:r>
        <m:r>
          <w:rPr>
            <w:rFonts w:ascii="Cambria Math" w:eastAsia="Times New Roman" w:hAnsi="Cambria Math" w:cs="Calibri"/>
            <w:color w:val="000000"/>
            <w:kern w:val="0"/>
            <w:sz w:val="20"/>
            <w:szCs w:val="20"/>
            <w:vertAlign w:val="subscript"/>
            <w:lang w:eastAsia="es-MX"/>
            <w14:ligatures w14:val="none"/>
          </w:rPr>
          <m:t>95</m:t>
        </m:r>
      </m:oMath>
      <w:r w:rsidRPr="007229D3">
        <w:rPr>
          <w:rFonts w:ascii="Calibri" w:eastAsia="Times New Roman" w:hAnsi="Calibri" w:cs="Calibri"/>
          <w:color w:val="000000"/>
          <w:kern w:val="0"/>
          <w:sz w:val="20"/>
          <w:szCs w:val="20"/>
          <w:lang w:eastAsia="es-MX"/>
          <w14:ligatures w14:val="none"/>
        </w:rPr>
        <w:t xml:space="preserve"> de las coordenadas de la estación de referencia, conforme a la siguiente ecuación.</w:t>
      </w:r>
    </w:p>
    <w:p w14:paraId="2889C213"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010A7B05" w14:textId="70B0C32C" w:rsidR="007229D3" w:rsidRDefault="007229D3" w:rsidP="00216533">
      <w:pPr>
        <w:pStyle w:val="Prrafodelista"/>
        <w:spacing w:after="0" w:line="240" w:lineRule="auto"/>
        <w:ind w:left="2552" w:right="-376"/>
        <w:rPr>
          <w:rFonts w:ascii="Calibri" w:eastAsia="Times New Roman" w:hAnsi="Calibri" w:cs="Calibri"/>
          <w:b/>
          <w:bCs/>
          <w:color w:val="000000"/>
          <w:kern w:val="0"/>
          <w:sz w:val="20"/>
          <w:szCs w:val="20"/>
          <w:lang w:eastAsia="es-MX"/>
          <w14:ligatures w14:val="none"/>
        </w:rPr>
      </w:pPr>
      <w:r w:rsidRPr="00216533">
        <w:rPr>
          <w:rFonts w:ascii="Calibri" w:eastAsia="Times New Roman" w:hAnsi="Calibri" w:cs="Calibri"/>
          <w:i/>
          <w:iCs/>
          <w:color w:val="000000"/>
          <w:kern w:val="0"/>
          <w:sz w:val="20"/>
          <w:szCs w:val="20"/>
          <w:lang w:eastAsia="es-MX"/>
          <w14:ligatures w14:val="none"/>
        </w:rPr>
        <w:t>CEP</w:t>
      </w:r>
      <w:r w:rsidRPr="007229D3">
        <w:rPr>
          <w:rFonts w:ascii="Calibri" w:eastAsia="Times New Roman" w:hAnsi="Calibri" w:cs="Calibri"/>
          <w:color w:val="000000"/>
          <w:kern w:val="0"/>
          <w:sz w:val="20"/>
          <w:szCs w:val="20"/>
          <w:vertAlign w:val="subscript"/>
          <w:lang w:eastAsia="es-MX"/>
          <w14:ligatures w14:val="none"/>
        </w:rPr>
        <w:t>95</w:t>
      </w:r>
      <w:r w:rsidRPr="007229D3">
        <w:rPr>
          <w:rFonts w:ascii="Calibri" w:eastAsia="Times New Roman" w:hAnsi="Calibri" w:cs="Calibri"/>
          <w:color w:val="000000"/>
          <w:kern w:val="0"/>
          <w:sz w:val="20"/>
          <w:szCs w:val="20"/>
          <w:lang w:eastAsia="es-MX"/>
          <w14:ligatures w14:val="none"/>
        </w:rPr>
        <w:t xml:space="preserve"> = 1.2238</w:t>
      </w:r>
      <w:r w:rsidRPr="00EE6163">
        <w:rPr>
          <w:rFonts w:ascii="Calibri" w:eastAsia="Times New Roman" w:hAnsi="Calibri" w:cs="Calibri"/>
          <w:color w:val="000000"/>
          <w:kern w:val="0"/>
          <w:sz w:val="20"/>
          <w:szCs w:val="20"/>
          <w:lang w:eastAsia="es-MX"/>
          <w14:ligatures w14:val="none"/>
        </w:rPr>
        <w:t>(</w:t>
      </w:r>
      <m:oMath>
        <m:sSub>
          <m:sSubPr>
            <m:ctrlPr>
              <w:rPr>
                <w:rFonts w:ascii="Cambria Math" w:eastAsia="Times New Roman" w:hAnsi="Cambria Math" w:cs="Calibri"/>
                <w:i/>
                <w:iCs/>
                <w:color w:val="000000"/>
                <w:kern w:val="0"/>
                <w:sz w:val="20"/>
                <w:szCs w:val="20"/>
                <w:lang w:eastAsia="es-MX"/>
                <w14:ligatures w14:val="none"/>
              </w:rPr>
            </m:ctrlPr>
          </m:sSubPr>
          <m:e>
            <m:r>
              <m:rPr>
                <m:sty m:val="p"/>
              </m:rPr>
              <w:rPr>
                <w:rFonts w:ascii="Cambria Math" w:eastAsia="Times New Roman" w:hAnsi="Cambria Math" w:cs="Calibri"/>
                <w:color w:val="000000"/>
                <w:kern w:val="0"/>
                <w:sz w:val="20"/>
                <w:szCs w:val="20"/>
                <w:lang w:eastAsia="es-MX"/>
                <w14:ligatures w14:val="none"/>
              </w:rPr>
              <m:t>σ</m:t>
            </m:r>
          </m:e>
          <m:sub>
            <m:r>
              <m:rPr>
                <m:sty m:val="p"/>
              </m:rPr>
              <w:rPr>
                <w:rFonts w:ascii="Cambria Math" w:eastAsia="Times New Roman" w:hAnsi="Cambria Math" w:cs="Calibri"/>
                <w:color w:val="000000"/>
                <w:kern w:val="0"/>
                <w:sz w:val="20"/>
                <w:szCs w:val="20"/>
                <w:lang w:eastAsia="es-MX"/>
                <w14:ligatures w14:val="none"/>
              </w:rPr>
              <m:t>Φ</m:t>
            </m:r>
          </m:sub>
        </m:sSub>
        <m:r>
          <m:rPr>
            <m:sty m:val="p"/>
          </m:rP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eastAsia="es-MX"/>
                <w14:ligatures w14:val="none"/>
              </w:rPr>
            </m:ctrlPr>
          </m:sSubPr>
          <m:e>
            <m:r>
              <m:rPr>
                <m:sty m:val="p"/>
              </m:rPr>
              <w:rPr>
                <w:rFonts w:ascii="Cambria Math" w:eastAsia="Times New Roman" w:hAnsi="Cambria Math" w:cs="Calibri"/>
                <w:color w:val="000000"/>
                <w:kern w:val="0"/>
                <w:sz w:val="20"/>
                <w:szCs w:val="20"/>
                <w:lang w:eastAsia="es-MX"/>
                <w14:ligatures w14:val="none"/>
              </w:rPr>
              <m:t>σ</m:t>
            </m:r>
          </m:e>
          <m:sub>
            <m:r>
              <m:rPr>
                <m:sty m:val="p"/>
              </m:rPr>
              <w:rPr>
                <w:rFonts w:ascii="Cambria Math" w:eastAsia="Times New Roman" w:hAnsi="Cambria Math" w:cs="Calibri"/>
                <w:color w:val="000000"/>
                <w:kern w:val="0"/>
                <w:sz w:val="20"/>
                <w:szCs w:val="20"/>
                <w:lang w:eastAsia="es-MX"/>
                <w14:ligatures w14:val="none"/>
              </w:rPr>
              <m:t>λ</m:t>
            </m:r>
          </m:sub>
        </m:sSub>
      </m:oMath>
      <w:r w:rsidRPr="00EE6163">
        <w:rPr>
          <w:rFonts w:ascii="Calibri" w:eastAsia="Times New Roman" w:hAnsi="Calibri" w:cs="Calibri"/>
          <w:color w:val="000000"/>
          <w:kern w:val="0"/>
          <w:sz w:val="20"/>
          <w:szCs w:val="20"/>
          <w:lang w:eastAsia="es-MX"/>
          <w14:ligatures w14:val="none"/>
        </w:rPr>
        <w:t>)</w:t>
      </w:r>
      <w:r>
        <w:rPr>
          <w:rFonts w:ascii="Calibri" w:eastAsia="Times New Roman" w:hAnsi="Calibri" w:cs="Calibri"/>
          <w:color w:val="000000"/>
          <w:kern w:val="0"/>
          <w:sz w:val="20"/>
          <w:szCs w:val="20"/>
          <w:lang w:eastAsia="es-MX"/>
          <w14:ligatures w14:val="none"/>
        </w:rPr>
        <w:t xml:space="preserve"> + </w:t>
      </w:r>
      <w:r w:rsidRPr="00216533">
        <w:rPr>
          <w:rFonts w:ascii="Calibri" w:eastAsia="Times New Roman" w:hAnsi="Calibri" w:cs="Calibri"/>
          <w:i/>
          <w:iCs/>
          <w:color w:val="000000"/>
          <w:kern w:val="0"/>
          <w:sz w:val="20"/>
          <w:szCs w:val="20"/>
          <w:lang w:eastAsia="es-MX"/>
          <w14:ligatures w14:val="none"/>
        </w:rPr>
        <w:t>CEP</w:t>
      </w:r>
      <w:r w:rsidRPr="007229D3">
        <w:rPr>
          <w:rFonts w:ascii="Calibri" w:eastAsia="Times New Roman" w:hAnsi="Calibri" w:cs="Calibri"/>
          <w:color w:val="000000"/>
          <w:kern w:val="0"/>
          <w:sz w:val="20"/>
          <w:szCs w:val="20"/>
          <w:vertAlign w:val="subscript"/>
          <w:lang w:eastAsia="es-MX"/>
          <w14:ligatures w14:val="none"/>
        </w:rPr>
        <w:t>95</w:t>
      </w:r>
      <w:r>
        <w:rPr>
          <w:rFonts w:ascii="Calibri" w:eastAsia="Times New Roman" w:hAnsi="Calibri" w:cs="Calibri"/>
          <w:color w:val="000000"/>
          <w:kern w:val="0"/>
          <w:sz w:val="20"/>
          <w:szCs w:val="20"/>
          <w:lang w:eastAsia="es-MX"/>
          <w14:ligatures w14:val="none"/>
        </w:rPr>
        <w:t xml:space="preserve"> </w:t>
      </w:r>
      <w:r w:rsidRPr="00216533">
        <w:rPr>
          <w:rFonts w:ascii="Calibri" w:eastAsia="Times New Roman" w:hAnsi="Calibri" w:cs="Calibri"/>
          <w:color w:val="000000"/>
          <w:kern w:val="0"/>
          <w:sz w:val="20"/>
          <w:szCs w:val="20"/>
          <w:vertAlign w:val="subscript"/>
          <w:lang w:eastAsia="es-MX"/>
          <w14:ligatures w14:val="none"/>
        </w:rPr>
        <w:t>(referencia)</w:t>
      </w:r>
    </w:p>
    <w:p w14:paraId="430A926B" w14:textId="77777777" w:rsidR="007229D3" w:rsidRDefault="007229D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21285B1D" w14:textId="1DC31EF1"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 xml:space="preserve">  Ejemplo:</w:t>
      </w:r>
      <w:r>
        <w:rPr>
          <w:rFonts w:ascii="Calibri" w:eastAsia="Times New Roman" w:hAnsi="Calibri" w:cs="Calibri"/>
          <w:b/>
          <w:bCs/>
          <w:color w:val="000000"/>
          <w:kern w:val="0"/>
          <w:sz w:val="20"/>
          <w:szCs w:val="20"/>
          <w:lang w:eastAsia="es-MX"/>
          <w14:ligatures w14:val="none"/>
        </w:rPr>
        <w:t xml:space="preserve">             </w:t>
      </w:r>
      <w:r>
        <w:rPr>
          <w:noProof/>
        </w:rPr>
        <w:drawing>
          <wp:inline distT="0" distB="0" distL="0" distR="0" wp14:anchorId="185C475C" wp14:editId="2B9248BC">
            <wp:extent cx="5253657" cy="550170"/>
            <wp:effectExtent l="0" t="0" r="4445" b="2540"/>
            <wp:docPr id="12" name="Imagen 11" descr="Tabla&#10;&#10;El contenido generado por IA puede ser incorrecto.">
              <a:extLst xmlns:a="http://schemas.openxmlformats.org/drawingml/2006/main">
                <a:ext uri="{FF2B5EF4-FFF2-40B4-BE49-F238E27FC236}">
                  <a16:creationId xmlns:a16="http://schemas.microsoft.com/office/drawing/2014/main" id="{00000000-0008-0000-01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Tabla&#10;&#10;El contenido generado por IA puede ser incorrecto.">
                      <a:extLst>
                        <a:ext uri="{FF2B5EF4-FFF2-40B4-BE49-F238E27FC236}">
                          <a16:creationId xmlns:a16="http://schemas.microsoft.com/office/drawing/2014/main" id="{00000000-0008-0000-0100-00000C000000}"/>
                        </a:ext>
                      </a:extLst>
                    </pic:cNvPr>
                    <pic:cNvPicPr>
                      <a:picLocks noChangeAspect="1"/>
                    </pic:cNvPicPr>
                  </pic:nvPicPr>
                  <pic:blipFill>
                    <a:blip r:embed="rId12"/>
                    <a:stretch>
                      <a:fillRect/>
                    </a:stretch>
                  </pic:blipFill>
                  <pic:spPr>
                    <a:xfrm>
                      <a:off x="0" y="0"/>
                      <a:ext cx="5253657" cy="550170"/>
                    </a:xfrm>
                    <a:prstGeom prst="rect">
                      <a:avLst/>
                    </a:prstGeom>
                  </pic:spPr>
                </pic:pic>
              </a:graphicData>
            </a:graphic>
          </wp:inline>
        </w:drawing>
      </w:r>
    </w:p>
    <w:p w14:paraId="7038B273" w14:textId="77777777" w:rsidR="00EE6163" w:rsidRDefault="00EE6163"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1CACC7CF" w14:textId="3E8DF07B" w:rsidR="00C470FC" w:rsidRDefault="00C470FC"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34B17FE7" w14:textId="231B9A91" w:rsidR="00C470FC" w:rsidRPr="00294AE7" w:rsidRDefault="00C470FC" w:rsidP="00C470FC">
      <w:pPr>
        <w:pStyle w:val="Prrafodelista"/>
        <w:spacing w:after="0" w:line="240" w:lineRule="auto"/>
        <w:ind w:left="360"/>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 xml:space="preserve"> </w:t>
      </w:r>
      <w:r w:rsidR="00216533">
        <w:rPr>
          <w:rFonts w:ascii="Calibri" w:eastAsia="Times New Roman" w:hAnsi="Calibri" w:cs="Calibri"/>
          <w:color w:val="000000"/>
          <w:kern w:val="0"/>
          <w:sz w:val="20"/>
          <w:szCs w:val="20"/>
          <w:lang w:eastAsia="es-MX"/>
          <w14:ligatures w14:val="none"/>
        </w:rPr>
        <w:t>Total</w:t>
      </w:r>
    </w:p>
    <w:p w14:paraId="564F5072" w14:textId="77777777" w:rsidR="00C470FC" w:rsidRPr="00C470FC" w:rsidRDefault="00C470FC" w:rsidP="00C470FC">
      <w:pPr>
        <w:pStyle w:val="Prrafodelista"/>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6391BD87" w14:textId="0A462D8D" w:rsidR="00216533" w:rsidRPr="00216533" w:rsidRDefault="00216533" w:rsidP="00216533">
      <w:pPr>
        <w:ind w:left="426" w:right="-376"/>
        <w:jc w:val="both"/>
        <w:rPr>
          <w:rFonts w:ascii="Calibri" w:eastAsia="Times New Roman" w:hAnsi="Calibri" w:cs="Calibri"/>
          <w:sz w:val="20"/>
          <w:szCs w:val="20"/>
        </w:rPr>
      </w:pPr>
      <w:r w:rsidRPr="00216533">
        <w:rPr>
          <w:rFonts w:ascii="Calibri" w:eastAsia="Times New Roman" w:hAnsi="Calibri" w:cs="Calibri"/>
          <w:sz w:val="20"/>
          <w:szCs w:val="20"/>
        </w:rPr>
        <w:t xml:space="preserve">Las Estaciones Horizontales Pasivas o los Puntos para fines especiales se distribuyen conforme al área del proyecto y a las especificaciones contenidas en la normatividad técnica y manuales operativos y/o </w:t>
      </w:r>
      <w:proofErr w:type="gramStart"/>
      <w:r w:rsidRPr="00216533">
        <w:rPr>
          <w:rFonts w:ascii="Calibri" w:eastAsia="Times New Roman" w:hAnsi="Calibri" w:cs="Calibri"/>
          <w:sz w:val="20"/>
          <w:szCs w:val="20"/>
        </w:rPr>
        <w:t xml:space="preserve">de acuerdo </w:t>
      </w:r>
      <w:r w:rsidRPr="00216533">
        <w:rPr>
          <w:rFonts w:ascii="Calibri" w:eastAsia="Times New Roman" w:hAnsi="Calibri" w:cs="Calibri"/>
          <w:sz w:val="20"/>
          <w:szCs w:val="20"/>
        </w:rPr>
        <w:lastRenderedPageBreak/>
        <w:t>a</w:t>
      </w:r>
      <w:proofErr w:type="gramEnd"/>
      <w:r w:rsidRPr="00216533">
        <w:rPr>
          <w:rFonts w:ascii="Calibri" w:eastAsia="Times New Roman" w:hAnsi="Calibri" w:cs="Calibri"/>
          <w:sz w:val="20"/>
          <w:szCs w:val="20"/>
        </w:rPr>
        <w:t xml:space="preserve"> las espec</w:t>
      </w:r>
      <w:r>
        <w:rPr>
          <w:rFonts w:ascii="Calibri" w:eastAsia="Times New Roman" w:hAnsi="Calibri" w:cs="Calibri"/>
          <w:sz w:val="20"/>
          <w:szCs w:val="20"/>
        </w:rPr>
        <w:t>i</w:t>
      </w:r>
      <w:r w:rsidRPr="00216533">
        <w:rPr>
          <w:rFonts w:ascii="Calibri" w:eastAsia="Times New Roman" w:hAnsi="Calibri" w:cs="Calibri"/>
          <w:sz w:val="20"/>
          <w:szCs w:val="20"/>
        </w:rPr>
        <w:t xml:space="preserve">ficaciones de los usuarios.  Los datos captados en campo con tecnología GNSS han sido procesados y ajustados considerando la deformación en el tiempo, con liga al Marco de Referencia Geodésico (ITRF08, época 2010.0, en el Elipsoide GRS80), conforme a la Norma Técnica del Sistema Geodésico Nacional. </w:t>
      </w:r>
    </w:p>
    <w:p w14:paraId="68F79A97" w14:textId="414E26F5" w:rsidR="007C4988" w:rsidRPr="007C4988" w:rsidRDefault="00216533" w:rsidP="00216533">
      <w:pPr>
        <w:ind w:left="426" w:right="-376"/>
        <w:jc w:val="both"/>
        <w:rPr>
          <w:rFonts w:ascii="Calibri" w:hAnsi="Calibri" w:cs="Calibri"/>
          <w:sz w:val="20"/>
          <w:szCs w:val="20"/>
        </w:rPr>
      </w:pPr>
      <w:r w:rsidRPr="00216533">
        <w:rPr>
          <w:rFonts w:ascii="Calibri" w:eastAsia="Times New Roman" w:hAnsi="Calibri" w:cs="Calibri"/>
          <w:sz w:val="20"/>
          <w:szCs w:val="20"/>
        </w:rPr>
        <w:t>La fuente de información son las desviaciones estándar de las coordenadas horizontal que arroja el resultado del proceso de vectores o líneas base y el ajuste de los datos por el método de mínimos cuadrados.</w:t>
      </w:r>
    </w:p>
    <w:p w14:paraId="40CC2ADD" w14:textId="3D52A34F"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5E1B39CB" w14:textId="0F5FDB18" w:rsidR="00DE2869" w:rsidRDefault="00216533" w:rsidP="00DA09D9">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El Círculo de Error Probable se calcula individualmente para cada Estación Horizontal Pasiva o Punto para fines especiales, a partir de los datos captados y procesados de cada proyecto dado.</w:t>
      </w:r>
    </w:p>
    <w:p w14:paraId="69DDE6D1" w14:textId="77777777" w:rsidR="00DA09D9" w:rsidRDefault="00DA09D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0479A5B" w14:textId="77777777" w:rsidR="00216533" w:rsidRDefault="00216533"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469ED">
        <w:rPr>
          <w:rFonts w:ascii="Calibri" w:eastAsia="Times New Roman" w:hAnsi="Calibri" w:cs="Calibri"/>
          <w:color w:val="000000"/>
          <w:kern w:val="0"/>
          <w:sz w:val="20"/>
          <w:szCs w:val="20"/>
          <w:lang w:eastAsia="es-MX"/>
          <w14:ligatures w14:val="none"/>
        </w:rPr>
        <w:t>El Círculo de Error Probable (CEP) es un estadístico para representar la exactitud de posicionamiento horizontal de los datos captados (latitud y longitud) con tecnología GNSS en el que se tiene un porcentaje de probabilidad de que se encuentre el valor verdadero.</w:t>
      </w:r>
    </w:p>
    <w:p w14:paraId="7A23A1A0" w14:textId="77777777" w:rsidR="00216533" w:rsidRDefault="00216533"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51F66A19" w14:textId="77777777" w:rsidR="00216533" w:rsidRPr="00216533" w:rsidRDefault="00216533" w:rsidP="00216533">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El Círculo de Error Probable de cada Estación Horizontal Pasiva o Punto para fines especiales deberá cumplir con un orden de exactitud de 1 decímetro conforme a la Norma Técnica de Estándares de Exactitud Posicional.</w:t>
      </w:r>
    </w:p>
    <w:p w14:paraId="75510FC1" w14:textId="77777777" w:rsidR="00216533" w:rsidRPr="00216533" w:rsidRDefault="00216533" w:rsidP="00216533">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2B2AF3F5" w14:textId="41D654AD" w:rsidR="00DE2869" w:rsidRDefault="00216533" w:rsidP="00216533">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216533">
        <w:rPr>
          <w:rFonts w:ascii="Calibri" w:eastAsia="Times New Roman" w:hAnsi="Calibri" w:cs="Calibri"/>
          <w:color w:val="000000"/>
          <w:kern w:val="0"/>
          <w:sz w:val="20"/>
          <w:szCs w:val="20"/>
          <w:lang w:eastAsia="es-MX"/>
          <w14:ligatures w14:val="none"/>
        </w:rPr>
        <w:t>Los metadatos de las Estaciones Horizontales Pasivas o Puntos para fines especiales se elaboran con las especificaciones de la Guía Metodológica para la Generación e Integración de Metadatos Geográficos conforme a la Norma Técnica para la elaboración de Metadatos Geográficos (NTM).</w:t>
      </w:r>
      <w:r w:rsidR="00B23D31" w:rsidRPr="00B23D31">
        <w:rPr>
          <w:rFonts w:ascii="Calibri" w:eastAsia="Times New Roman" w:hAnsi="Calibri" w:cs="Calibri"/>
          <w:color w:val="000000"/>
          <w:kern w:val="0"/>
          <w:sz w:val="20"/>
          <w:szCs w:val="20"/>
          <w:lang w:eastAsia="es-MX"/>
          <w14:ligatures w14:val="none"/>
        </w:rPr>
        <w:t xml:space="preserve">   </w:t>
      </w:r>
      <w:r w:rsidR="00C470FC" w:rsidRPr="00C470FC">
        <w:rPr>
          <w:rFonts w:ascii="Calibri" w:eastAsia="Times New Roman" w:hAnsi="Calibri" w:cs="Calibri"/>
          <w:color w:val="000000"/>
          <w:kern w:val="0"/>
          <w:sz w:val="20"/>
          <w:szCs w:val="20"/>
          <w:lang w:eastAsia="es-MX"/>
          <w14:ligatures w14:val="none"/>
        </w:rPr>
        <w:t xml:space="preserve">      </w:t>
      </w:r>
    </w:p>
    <w:p w14:paraId="0CB2097B" w14:textId="77777777" w:rsidR="00DE2869" w:rsidRDefault="00DE2869" w:rsidP="007C498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572ED71" w14:textId="5312D4AC" w:rsidR="002F559F" w:rsidRPr="009546E7" w:rsidRDefault="00216533" w:rsidP="007C4988">
      <w:pPr>
        <w:pStyle w:val="Prrafodelista"/>
        <w:spacing w:after="0" w:line="240" w:lineRule="auto"/>
        <w:ind w:left="426" w:right="-376"/>
        <w:jc w:val="both"/>
        <w:rPr>
          <w:sz w:val="20"/>
          <w:szCs w:val="20"/>
        </w:rPr>
      </w:pPr>
      <w:r w:rsidRPr="00216533">
        <w:rPr>
          <w:rFonts w:ascii="Calibri" w:eastAsia="Times New Roman" w:hAnsi="Calibri" w:cs="Calibri"/>
          <w:color w:val="000000"/>
          <w:kern w:val="0"/>
          <w:sz w:val="20"/>
          <w:szCs w:val="20"/>
          <w:lang w:eastAsia="es-MX"/>
          <w14:ligatures w14:val="none"/>
        </w:rPr>
        <w:t>Valor del Círculo de Error Probable ≤1 d</w:t>
      </w:r>
      <w:r>
        <w:rPr>
          <w:rFonts w:ascii="Calibri" w:eastAsia="Times New Roman" w:hAnsi="Calibri" w:cs="Calibri"/>
          <w:color w:val="000000"/>
          <w:kern w:val="0"/>
          <w:sz w:val="20"/>
          <w:szCs w:val="20"/>
          <w:lang w:eastAsia="es-MX"/>
          <w14:ligatures w14:val="none"/>
        </w:rPr>
        <w:t>e</w:t>
      </w:r>
      <w:r w:rsidRPr="00216533">
        <w:rPr>
          <w:rFonts w:ascii="Calibri" w:eastAsia="Times New Roman" w:hAnsi="Calibri" w:cs="Calibri"/>
          <w:color w:val="000000"/>
          <w:kern w:val="0"/>
          <w:sz w:val="20"/>
          <w:szCs w:val="20"/>
          <w:lang w:eastAsia="es-MX"/>
          <w14:ligatures w14:val="none"/>
        </w:rPr>
        <w:t>c</w:t>
      </w:r>
      <w:r>
        <w:rPr>
          <w:rFonts w:ascii="Calibri" w:eastAsia="Times New Roman" w:hAnsi="Calibri" w:cs="Calibri"/>
          <w:color w:val="000000"/>
          <w:kern w:val="0"/>
          <w:sz w:val="20"/>
          <w:szCs w:val="20"/>
          <w:lang w:eastAsia="es-MX"/>
          <w14:ligatures w14:val="none"/>
        </w:rPr>
        <w:t>í</w:t>
      </w:r>
      <w:r w:rsidRPr="00216533">
        <w:rPr>
          <w:rFonts w:ascii="Calibri" w:eastAsia="Times New Roman" w:hAnsi="Calibri" w:cs="Calibri"/>
          <w:color w:val="000000"/>
          <w:kern w:val="0"/>
          <w:sz w:val="20"/>
          <w:szCs w:val="20"/>
          <w:lang w:eastAsia="es-MX"/>
          <w14:ligatures w14:val="none"/>
        </w:rPr>
        <w:t>metro conforme a la Norma Técnica de Estándares de Exactitud Posicional.</w:t>
      </w: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0"/>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100E12"/>
    <w:rsid w:val="00125E0E"/>
    <w:rsid w:val="00186E2E"/>
    <w:rsid w:val="001B7281"/>
    <w:rsid w:val="001E2DD7"/>
    <w:rsid w:val="00206D7D"/>
    <w:rsid w:val="00216533"/>
    <w:rsid w:val="00235D6E"/>
    <w:rsid w:val="00260F34"/>
    <w:rsid w:val="00294AE7"/>
    <w:rsid w:val="002C2903"/>
    <w:rsid w:val="002F559F"/>
    <w:rsid w:val="0033224A"/>
    <w:rsid w:val="00335E4E"/>
    <w:rsid w:val="003569FC"/>
    <w:rsid w:val="00356C79"/>
    <w:rsid w:val="0037586A"/>
    <w:rsid w:val="0042050E"/>
    <w:rsid w:val="00444B20"/>
    <w:rsid w:val="00464252"/>
    <w:rsid w:val="004836B2"/>
    <w:rsid w:val="004A0D61"/>
    <w:rsid w:val="004B32E5"/>
    <w:rsid w:val="004D2E5F"/>
    <w:rsid w:val="00597DEB"/>
    <w:rsid w:val="005D5F63"/>
    <w:rsid w:val="0061336D"/>
    <w:rsid w:val="00624EA3"/>
    <w:rsid w:val="00634AA4"/>
    <w:rsid w:val="00663433"/>
    <w:rsid w:val="00690384"/>
    <w:rsid w:val="006B2E16"/>
    <w:rsid w:val="00705EC1"/>
    <w:rsid w:val="00711025"/>
    <w:rsid w:val="007229D3"/>
    <w:rsid w:val="00754EB1"/>
    <w:rsid w:val="007B774C"/>
    <w:rsid w:val="007C4988"/>
    <w:rsid w:val="007D2115"/>
    <w:rsid w:val="00872EB8"/>
    <w:rsid w:val="00897961"/>
    <w:rsid w:val="008C470B"/>
    <w:rsid w:val="008F6A3B"/>
    <w:rsid w:val="00925F3D"/>
    <w:rsid w:val="00947989"/>
    <w:rsid w:val="009510D8"/>
    <w:rsid w:val="009546E7"/>
    <w:rsid w:val="0097395E"/>
    <w:rsid w:val="009773AB"/>
    <w:rsid w:val="00984084"/>
    <w:rsid w:val="009935FA"/>
    <w:rsid w:val="009A7D16"/>
    <w:rsid w:val="009D6A56"/>
    <w:rsid w:val="009F0312"/>
    <w:rsid w:val="00A50F8D"/>
    <w:rsid w:val="00A51309"/>
    <w:rsid w:val="00AA7EBA"/>
    <w:rsid w:val="00B23D31"/>
    <w:rsid w:val="00B469ED"/>
    <w:rsid w:val="00BE7757"/>
    <w:rsid w:val="00BF4A5C"/>
    <w:rsid w:val="00C470FC"/>
    <w:rsid w:val="00CF0E84"/>
    <w:rsid w:val="00D274BD"/>
    <w:rsid w:val="00D42E7D"/>
    <w:rsid w:val="00D468DB"/>
    <w:rsid w:val="00DA09D9"/>
    <w:rsid w:val="00DE2869"/>
    <w:rsid w:val="00DF2F26"/>
    <w:rsid w:val="00DF5B40"/>
    <w:rsid w:val="00E54005"/>
    <w:rsid w:val="00E60F03"/>
    <w:rsid w:val="00EE6163"/>
    <w:rsid w:val="00EE62C9"/>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i.gov/servlets/purl/1777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egi.org.mx/contenido/productos/prod_serv/contenidos/espanol/bvinegi/productos/historicos/380/702825001383/702825001383_1.pdf"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ieg.mx/Documentos/Normatividad/Vigente/Norma_Tecnica_de_Estandares_de_Exactitud_Posicional.pdf" TargetMode="External"/><Relationship Id="rId11" Type="http://schemas.openxmlformats.org/officeDocument/2006/relationships/image" Target="media/image1.png"/><Relationship Id="rId5" Type="http://schemas.openxmlformats.org/officeDocument/2006/relationships/hyperlink" Target="https://www.snieg.mx/Documentos/Normatividad/Vigente/Norma_Tecnica_para_el_Sistema_Geodesico_Nacional.pdf" TargetMode="External"/><Relationship Id="rId10" Type="http://schemas.openxmlformats.org/officeDocument/2006/relationships/hyperlink" Target="http://www.inegi.org.mx/geo/contenidos/metadatos/ntm.aspx?s=geo&amp;c=2374" TargetMode="External"/><Relationship Id="rId4" Type="http://schemas.openxmlformats.org/officeDocument/2006/relationships/webSettings" Target="webSettings.xml"/><Relationship Id="rId9" Type="http://schemas.openxmlformats.org/officeDocument/2006/relationships/hyperlink" Target="https://www.gnss.ca/app_notes/APN-029_GPS_Position_Accuracy_Measures_Application_Note.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4</Pages>
  <Words>1438</Words>
  <Characters>7914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40</cp:revision>
  <dcterms:created xsi:type="dcterms:W3CDTF">2025-07-23T17:19:00Z</dcterms:created>
  <dcterms:modified xsi:type="dcterms:W3CDTF">2025-10-09T17:25:00Z</dcterms:modified>
</cp:coreProperties>
</file>